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32EA5B" w14:textId="440F0535" w:rsidR="00716A8F" w:rsidRDefault="0082454F" w:rsidP="0082454F">
      <w:pPr>
        <w:spacing w:after="0" w:line="240" w:lineRule="auto"/>
        <w:jc w:val="both"/>
        <w:rPr>
          <w:rFonts w:ascii="Arial" w:hAnsi="Arial" w:cs="Arial"/>
          <w:b/>
          <w:bCs/>
          <w:snapToGrid w:val="0"/>
          <w:sz w:val="24"/>
          <w:szCs w:val="24"/>
        </w:rPr>
      </w:pPr>
      <w:r w:rsidRPr="0082454F">
        <w:rPr>
          <w:rFonts w:ascii="Arial" w:hAnsi="Arial" w:cs="Arial"/>
          <w:b/>
          <w:bCs/>
          <w:snapToGrid w:val="0"/>
          <w:sz w:val="24"/>
          <w:szCs w:val="24"/>
        </w:rPr>
        <w:t>In vitro Characterization of Olive Pomace as a Functional Ingredient for Sustainable Feed Systems</w:t>
      </w:r>
    </w:p>
    <w:p w14:paraId="6B0310C2" w14:textId="77777777" w:rsidR="0082454F" w:rsidRPr="00000847" w:rsidRDefault="0082454F" w:rsidP="0082454F">
      <w:pPr>
        <w:spacing w:after="0" w:line="240" w:lineRule="auto"/>
        <w:jc w:val="center"/>
        <w:rPr>
          <w:rFonts w:ascii="Arial" w:hAnsi="Arial" w:cs="Arial"/>
          <w:sz w:val="20"/>
          <w:szCs w:val="20"/>
        </w:rPr>
      </w:pPr>
    </w:p>
    <w:p w14:paraId="7119435B" w14:textId="1A52F508" w:rsidR="00000847" w:rsidRPr="00000847" w:rsidRDefault="00000847" w:rsidP="00000847">
      <w:pPr>
        <w:jc w:val="center"/>
        <w:rPr>
          <w:rFonts w:ascii="Arial" w:hAnsi="Arial" w:cs="Arial"/>
          <w:sz w:val="20"/>
          <w:szCs w:val="20"/>
          <w:lang w:val="it-IT"/>
        </w:rPr>
      </w:pPr>
      <w:r w:rsidRPr="00000847">
        <w:rPr>
          <w:rFonts w:ascii="Arial" w:hAnsi="Arial" w:cs="Arial"/>
          <w:sz w:val="20"/>
          <w:szCs w:val="20"/>
          <w:lang w:val="it-IT"/>
        </w:rPr>
        <w:t>Davide Lanzoni</w:t>
      </w:r>
      <w:r w:rsidRPr="00000847">
        <w:rPr>
          <w:rFonts w:ascii="Arial" w:hAnsi="Arial" w:cs="Arial"/>
          <w:sz w:val="20"/>
          <w:szCs w:val="20"/>
          <w:vertAlign w:val="superscript"/>
          <w:lang w:val="it-IT"/>
        </w:rPr>
        <w:t>a</w:t>
      </w:r>
      <w:r w:rsidRPr="00000847">
        <w:rPr>
          <w:rFonts w:ascii="Arial" w:hAnsi="Arial" w:cs="Arial"/>
          <w:sz w:val="20"/>
          <w:szCs w:val="20"/>
          <w:lang w:val="it-IT"/>
        </w:rPr>
        <w:t>, Luciano Pinotti</w:t>
      </w:r>
      <w:r w:rsidRPr="00000847">
        <w:rPr>
          <w:rFonts w:ascii="Arial" w:hAnsi="Arial" w:cs="Arial"/>
          <w:sz w:val="20"/>
          <w:szCs w:val="20"/>
          <w:vertAlign w:val="superscript"/>
          <w:lang w:val="it-IT"/>
        </w:rPr>
        <w:t>a,c</w:t>
      </w:r>
      <w:r w:rsidR="00CE5FB6">
        <w:rPr>
          <w:rFonts w:ascii="Arial" w:hAnsi="Arial" w:cs="Arial"/>
          <w:sz w:val="20"/>
          <w:szCs w:val="20"/>
          <w:vertAlign w:val="superscript"/>
          <w:lang w:val="it-IT"/>
        </w:rPr>
        <w:t>*</w:t>
      </w:r>
      <w:r w:rsidRPr="00000847">
        <w:rPr>
          <w:rFonts w:ascii="Arial" w:hAnsi="Arial" w:cs="Arial"/>
          <w:sz w:val="20"/>
          <w:szCs w:val="20"/>
          <w:lang w:val="it-IT"/>
        </w:rPr>
        <w:t>, Sabrina Gioria</w:t>
      </w:r>
      <w:r w:rsidRPr="00000847">
        <w:rPr>
          <w:rFonts w:ascii="Arial" w:hAnsi="Arial" w:cs="Arial"/>
          <w:sz w:val="20"/>
          <w:szCs w:val="20"/>
          <w:vertAlign w:val="superscript"/>
          <w:lang w:val="it-IT"/>
        </w:rPr>
        <w:t>b</w:t>
      </w:r>
      <w:r w:rsidRPr="00000847">
        <w:rPr>
          <w:rFonts w:ascii="Arial" w:hAnsi="Arial" w:cs="Arial"/>
          <w:sz w:val="20"/>
          <w:szCs w:val="20"/>
          <w:lang w:val="it-IT"/>
        </w:rPr>
        <w:t>, Federica Cheli</w:t>
      </w:r>
      <w:r w:rsidRPr="00000847">
        <w:rPr>
          <w:rFonts w:ascii="Arial" w:hAnsi="Arial" w:cs="Arial"/>
          <w:sz w:val="20"/>
          <w:szCs w:val="20"/>
          <w:vertAlign w:val="superscript"/>
          <w:lang w:val="it-IT"/>
        </w:rPr>
        <w:t>a,c</w:t>
      </w:r>
      <w:r w:rsidRPr="00000847">
        <w:rPr>
          <w:rFonts w:ascii="Arial" w:hAnsi="Arial" w:cs="Arial"/>
          <w:sz w:val="20"/>
          <w:szCs w:val="20"/>
          <w:lang w:val="it-IT"/>
        </w:rPr>
        <w:t xml:space="preserve"> and Carlotta Giromini</w:t>
      </w:r>
      <w:r w:rsidRPr="00000847">
        <w:rPr>
          <w:rFonts w:ascii="Arial" w:hAnsi="Arial" w:cs="Arial"/>
          <w:sz w:val="20"/>
          <w:szCs w:val="20"/>
          <w:vertAlign w:val="superscript"/>
          <w:lang w:val="it-IT"/>
        </w:rPr>
        <w:t>a,d</w:t>
      </w:r>
    </w:p>
    <w:p w14:paraId="7139ED5F" w14:textId="77777777" w:rsidR="00000847" w:rsidRPr="00000847" w:rsidRDefault="00000847" w:rsidP="00000847">
      <w:pPr>
        <w:jc w:val="center"/>
        <w:rPr>
          <w:rFonts w:ascii="Arial" w:hAnsi="Arial" w:cs="Arial"/>
          <w:sz w:val="20"/>
          <w:szCs w:val="20"/>
          <w:lang w:val="it-IT"/>
        </w:rPr>
      </w:pPr>
      <w:r w:rsidRPr="00000847">
        <w:rPr>
          <w:rFonts w:ascii="Arial" w:hAnsi="Arial" w:cs="Arial"/>
          <w:sz w:val="20"/>
          <w:szCs w:val="20"/>
          <w:vertAlign w:val="superscript"/>
          <w:lang w:val="it-IT"/>
        </w:rPr>
        <w:t>a</w:t>
      </w:r>
      <w:r w:rsidRPr="00000847">
        <w:rPr>
          <w:rFonts w:ascii="Arial" w:hAnsi="Arial" w:cs="Arial"/>
          <w:sz w:val="20"/>
          <w:szCs w:val="20"/>
          <w:lang w:val="it-IT"/>
        </w:rPr>
        <w:t xml:space="preserve">Department of Veterinary Medicine and Animal Sciences (DIVAS), Università degli Studi di Milano, Lodi, Italy; </w:t>
      </w:r>
      <w:r w:rsidRPr="00000847">
        <w:rPr>
          <w:rFonts w:ascii="Arial" w:hAnsi="Arial" w:cs="Arial"/>
          <w:sz w:val="20"/>
          <w:szCs w:val="20"/>
          <w:vertAlign w:val="superscript"/>
          <w:lang w:val="it-IT"/>
        </w:rPr>
        <w:t>b</w:t>
      </w:r>
      <w:r w:rsidRPr="00000847">
        <w:rPr>
          <w:rFonts w:ascii="Arial" w:hAnsi="Arial" w:cs="Arial"/>
          <w:sz w:val="20"/>
          <w:szCs w:val="20"/>
          <w:lang w:val="it-IT"/>
        </w:rPr>
        <w:t>European Commission, Joint Research Centre (JRC), Ispra, Italy;</w:t>
      </w:r>
      <w:r w:rsidRPr="00000847">
        <w:rPr>
          <w:rFonts w:ascii="Arial" w:hAnsi="Arial" w:cs="Arial"/>
          <w:sz w:val="20"/>
          <w:szCs w:val="20"/>
          <w:vertAlign w:val="superscript"/>
          <w:lang w:val="it-IT"/>
        </w:rPr>
        <w:t xml:space="preserve"> c</w:t>
      </w:r>
      <w:r w:rsidRPr="00000847">
        <w:rPr>
          <w:rFonts w:ascii="Arial" w:hAnsi="Arial" w:cs="Arial"/>
          <w:sz w:val="20"/>
          <w:szCs w:val="20"/>
          <w:lang w:val="it-IT"/>
        </w:rPr>
        <w:t xml:space="preserve">CRC, Innovation for Well-Being and Environment, Università degli Studi di Milano, 20122 Milano, Italy; </w:t>
      </w:r>
      <w:r w:rsidRPr="00000847">
        <w:rPr>
          <w:rStyle w:val="ANMsuperscriptCar"/>
          <w:rFonts w:eastAsia="Calibri" w:cs="Arial"/>
          <w:sz w:val="20"/>
          <w:szCs w:val="20"/>
          <w:lang w:val="it-IT"/>
        </w:rPr>
        <w:t>d</w:t>
      </w:r>
      <w:r w:rsidRPr="00000847">
        <w:rPr>
          <w:rFonts w:ascii="Arial" w:hAnsi="Arial" w:cs="Arial"/>
          <w:sz w:val="20"/>
          <w:szCs w:val="20"/>
          <w:shd w:val="clear" w:color="auto" w:fill="FFFFFF"/>
          <w:lang w:val="it-IT"/>
        </w:rPr>
        <w:t>Institute for Food, Nutrition and Health, University of Reading, Reading, RG6 5EU, UK.</w:t>
      </w:r>
    </w:p>
    <w:p w14:paraId="494F1A42" w14:textId="77777777" w:rsidR="00716A8F" w:rsidRPr="00000847" w:rsidRDefault="00716A8F">
      <w:pPr>
        <w:spacing w:after="0" w:line="240" w:lineRule="auto"/>
        <w:rPr>
          <w:rFonts w:ascii="Arial" w:hAnsi="Arial" w:cs="Arial"/>
          <w:sz w:val="20"/>
          <w:szCs w:val="20"/>
          <w:lang w:val="it-IT"/>
        </w:rPr>
      </w:pPr>
    </w:p>
    <w:p w14:paraId="7AAF2EEA" w14:textId="42EB6C66" w:rsidR="00716A8F" w:rsidRPr="00CE5FB6" w:rsidRDefault="00000000">
      <w:pPr>
        <w:spacing w:after="0" w:line="240" w:lineRule="auto"/>
        <w:rPr>
          <w:rFonts w:ascii="Arial" w:hAnsi="Arial" w:cs="Arial"/>
          <w:sz w:val="16"/>
          <w:lang w:val="it-IT"/>
        </w:rPr>
      </w:pPr>
      <w:r w:rsidRPr="00CE5FB6">
        <w:rPr>
          <w:rFonts w:ascii="Arial" w:hAnsi="Arial" w:cs="Arial"/>
          <w:sz w:val="16"/>
          <w:lang w:val="it-IT"/>
        </w:rPr>
        <w:t xml:space="preserve">Corresponding author: </w:t>
      </w:r>
      <w:r w:rsidR="00CE5FB6" w:rsidRPr="00CE5FB6">
        <w:rPr>
          <w:rFonts w:ascii="Arial" w:hAnsi="Arial" w:cs="Arial"/>
          <w:sz w:val="16"/>
          <w:lang w:val="it-IT"/>
        </w:rPr>
        <w:t>Luciano Pinotti</w:t>
      </w:r>
    </w:p>
    <w:p w14:paraId="2DA7B827" w14:textId="303F1ED8" w:rsidR="00716A8F" w:rsidRPr="00000847" w:rsidRDefault="00000000">
      <w:pPr>
        <w:pStyle w:val="Pidipagina"/>
        <w:spacing w:after="0" w:line="240" w:lineRule="auto"/>
        <w:rPr>
          <w:rFonts w:ascii="Arial" w:hAnsi="Arial" w:cs="Arial"/>
          <w:sz w:val="16"/>
          <w:szCs w:val="16"/>
          <w:lang w:val="sr-Latn-CS"/>
        </w:rPr>
      </w:pPr>
      <w:r>
        <w:rPr>
          <w:rFonts w:ascii="Arial" w:hAnsi="Arial" w:cs="Arial"/>
          <w:sz w:val="16"/>
          <w:szCs w:val="16"/>
        </w:rPr>
        <w:t>E-mail address</w:t>
      </w:r>
      <w:r w:rsidRPr="00000847">
        <w:rPr>
          <w:rFonts w:ascii="Arial" w:hAnsi="Arial" w:cs="Arial"/>
          <w:sz w:val="16"/>
          <w:szCs w:val="16"/>
        </w:rPr>
        <w:t xml:space="preserve">: </w:t>
      </w:r>
      <w:hyperlink r:id="rId6" w:history="1">
        <w:r w:rsidR="00CE5FB6" w:rsidRPr="00DC1B07">
          <w:rPr>
            <w:rStyle w:val="Collegamentoipertestuale"/>
            <w:rFonts w:ascii="Arial" w:hAnsi="Arial" w:cs="Arial"/>
            <w:sz w:val="16"/>
            <w:szCs w:val="16"/>
          </w:rPr>
          <w:t>luciano</w:t>
        </w:r>
        <w:r w:rsidR="00CE5FB6" w:rsidRPr="00DC1B07">
          <w:rPr>
            <w:rStyle w:val="Collegamentoipertestuale"/>
            <w:rFonts w:ascii="Arial" w:hAnsi="Arial" w:cs="Arial"/>
            <w:sz w:val="16"/>
            <w:szCs w:val="16"/>
            <w:lang w:val="sr-Latn-CS"/>
          </w:rPr>
          <w:t>.pinotti@unimi.it</w:t>
        </w:r>
      </w:hyperlink>
    </w:p>
    <w:p w14:paraId="16506E70" w14:textId="77777777" w:rsidR="00716A8F" w:rsidRDefault="00716A8F">
      <w:pPr>
        <w:pStyle w:val="Pidipagina"/>
        <w:spacing w:after="0" w:line="240" w:lineRule="auto"/>
        <w:rPr>
          <w:rFonts w:ascii="Arial" w:hAnsi="Arial" w:cs="Arial"/>
          <w:sz w:val="20"/>
          <w:szCs w:val="20"/>
          <w:lang w:val="sr-Latn-CS"/>
        </w:rPr>
      </w:pPr>
    </w:p>
    <w:p w14:paraId="00278639" w14:textId="77777777" w:rsidR="00000847" w:rsidRPr="00000847" w:rsidRDefault="00000847" w:rsidP="00000847">
      <w:pPr>
        <w:spacing w:line="240" w:lineRule="auto"/>
        <w:jc w:val="both"/>
        <w:rPr>
          <w:rFonts w:ascii="Arial" w:hAnsi="Arial" w:cs="Arial"/>
          <w:sz w:val="20"/>
          <w:szCs w:val="20"/>
        </w:rPr>
      </w:pPr>
      <w:r w:rsidRPr="00000847">
        <w:rPr>
          <w:rFonts w:ascii="Arial" w:hAnsi="Arial" w:cs="Arial"/>
          <w:sz w:val="20"/>
          <w:szCs w:val="20"/>
        </w:rPr>
        <w:t xml:space="preserve">The growing need to enhance sustainability and ensure food security in agri-food and livestock systems has driven the valorization of agro-industrial co-products. In the present olive pomace (OP), a co-product of oil production, was analyzed </w:t>
      </w:r>
      <w:r w:rsidRPr="00000847">
        <w:rPr>
          <w:rFonts w:ascii="Arial" w:hAnsi="Arial" w:cs="Arial"/>
          <w:i/>
          <w:iCs/>
          <w:sz w:val="20"/>
          <w:szCs w:val="20"/>
        </w:rPr>
        <w:t>in vitro</w:t>
      </w:r>
      <w:r w:rsidRPr="00000847">
        <w:rPr>
          <w:rFonts w:ascii="Arial" w:hAnsi="Arial" w:cs="Arial"/>
          <w:sz w:val="20"/>
          <w:szCs w:val="20"/>
        </w:rPr>
        <w:t xml:space="preserve"> for its nutritional and functional properties in feed and cellular food production. An </w:t>
      </w:r>
      <w:r w:rsidRPr="00000847">
        <w:rPr>
          <w:rFonts w:ascii="Arial" w:hAnsi="Arial" w:cs="Arial"/>
          <w:i/>
          <w:iCs/>
          <w:sz w:val="20"/>
          <w:szCs w:val="20"/>
        </w:rPr>
        <w:t>in vitro</w:t>
      </w:r>
      <w:r w:rsidRPr="00000847">
        <w:rPr>
          <w:rFonts w:ascii="Arial" w:hAnsi="Arial" w:cs="Arial"/>
          <w:sz w:val="20"/>
          <w:szCs w:val="20"/>
        </w:rPr>
        <w:t xml:space="preserve"> digestion model was used to evaluate the bioaccessibility of phenolic compounds and the antioxidant capacity of OP. Olive pomace showed an interesting nutritional profile, in particular for lipid content (18.10 ± 0.07 g/100 g), although characterized by a low dry matter digestibility (31.49 ± 1.57 %). In parallel, OP showed a relevant antioxidant capacity over the digestive process. The inclusion of OP in piglet diets at 2.5% and 5% improved functional activity without significantly compromising digestibility values, compared to the control diet. </w:t>
      </w:r>
      <w:r w:rsidRPr="00000847">
        <w:rPr>
          <w:rFonts w:ascii="Arial" w:hAnsi="Arial" w:cs="Arial"/>
          <w:sz w:val="20"/>
          <w:szCs w:val="20"/>
          <w:lang w:val="en-GB"/>
        </w:rPr>
        <w:t>Finally, OP as a functional ingredient in C2C12 muscle cell culture medium, for cellular agriculture application, sustained cell viability at concentrations of 0.015 mg/mL (105.76 ± 5.91% viability), 0.03 mg/mL (101.27 ± 5.28%) and 0.07 mg/mL (102.51 ± 5.95%), although statistically (</w:t>
      </w:r>
      <w:r w:rsidRPr="00000847">
        <w:rPr>
          <w:rFonts w:ascii="Arial" w:hAnsi="Arial" w:cs="Arial"/>
          <w:i/>
          <w:iCs/>
          <w:sz w:val="20"/>
          <w:szCs w:val="20"/>
          <w:lang w:val="en-GB"/>
        </w:rPr>
        <w:t>p &lt;0.05</w:t>
      </w:r>
      <w:r w:rsidRPr="00000847">
        <w:rPr>
          <w:rFonts w:ascii="Arial" w:hAnsi="Arial" w:cs="Arial"/>
          <w:sz w:val="20"/>
          <w:szCs w:val="20"/>
          <w:lang w:val="en-GB"/>
        </w:rPr>
        <w:t>) lower than 10% FBS. The results obtained suggest the potential of OP as a sustainable functional ingredient, yet to be optimised for cellular agriculture.</w:t>
      </w:r>
    </w:p>
    <w:p w14:paraId="29A6308B" w14:textId="77777777" w:rsidR="00716A8F" w:rsidRPr="00000847" w:rsidRDefault="00716A8F">
      <w:pPr>
        <w:spacing w:after="0" w:line="240" w:lineRule="auto"/>
        <w:jc w:val="both"/>
        <w:rPr>
          <w:rFonts w:ascii="Arial" w:hAnsi="Arial" w:cs="Arial"/>
          <w:sz w:val="20"/>
          <w:szCs w:val="20"/>
        </w:rPr>
      </w:pPr>
    </w:p>
    <w:p w14:paraId="67A10349" w14:textId="480773F3" w:rsidR="00716A8F" w:rsidRDefault="00000000">
      <w:pPr>
        <w:spacing w:after="0" w:line="240" w:lineRule="auto"/>
        <w:jc w:val="both"/>
        <w:rPr>
          <w:rFonts w:ascii="Arial" w:hAnsi="Arial" w:cs="Arial"/>
          <w:sz w:val="20"/>
          <w:szCs w:val="20"/>
        </w:rPr>
      </w:pPr>
      <w:r>
        <w:rPr>
          <w:rFonts w:ascii="Arial" w:hAnsi="Arial" w:cs="Arial"/>
          <w:b/>
          <w:sz w:val="20"/>
          <w:szCs w:val="20"/>
          <w:lang w:val="en-GB"/>
        </w:rPr>
        <w:t>Keywords</w:t>
      </w:r>
      <w:r>
        <w:rPr>
          <w:rFonts w:ascii="Arial" w:hAnsi="Arial" w:cs="Arial"/>
          <w:sz w:val="20"/>
          <w:szCs w:val="20"/>
          <w:lang w:val="en-GB"/>
        </w:rPr>
        <w:t xml:space="preserve">: </w:t>
      </w:r>
      <w:r w:rsidR="00000847" w:rsidRPr="00000847">
        <w:rPr>
          <w:rFonts w:ascii="Arial" w:hAnsi="Arial" w:cs="Arial"/>
          <w:bCs/>
          <w:sz w:val="20"/>
          <w:szCs w:val="20"/>
        </w:rPr>
        <w:t>Co-product; Functional Activity; In vitro digestion; Olive; Pomace.</w:t>
      </w:r>
    </w:p>
    <w:p w14:paraId="2707E99A" w14:textId="77777777" w:rsidR="00716A8F" w:rsidRDefault="00716A8F">
      <w:pPr>
        <w:spacing w:after="0" w:line="240" w:lineRule="auto"/>
        <w:jc w:val="both"/>
        <w:rPr>
          <w:rFonts w:ascii="Arial" w:hAnsi="Arial" w:cs="Arial"/>
          <w:i/>
          <w:sz w:val="20"/>
          <w:szCs w:val="20"/>
        </w:rPr>
      </w:pPr>
    </w:p>
    <w:p w14:paraId="76F88991" w14:textId="77777777" w:rsidR="00000847" w:rsidRDefault="00000000" w:rsidP="00000847">
      <w:pPr>
        <w:pStyle w:val="MDPI62backmatter"/>
        <w:spacing w:line="240" w:lineRule="auto"/>
        <w:ind w:left="0"/>
        <w:rPr>
          <w:rFonts w:ascii="Times New Roman" w:hAnsi="Times New Roman"/>
          <w:sz w:val="24"/>
          <w:szCs w:val="24"/>
          <w:lang w:eastAsia="nl-NL"/>
        </w:rPr>
      </w:pPr>
      <w:r>
        <w:rPr>
          <w:rFonts w:ascii="Arial" w:hAnsi="Arial" w:cs="Arial"/>
          <w:b/>
          <w:sz w:val="20"/>
        </w:rPr>
        <w:t xml:space="preserve">Acknowledgements: </w:t>
      </w:r>
      <w:r w:rsidR="00000847" w:rsidRPr="00000847">
        <w:rPr>
          <w:rFonts w:ascii="Arial" w:hAnsi="Arial" w:cs="Arial"/>
          <w:sz w:val="20"/>
        </w:rPr>
        <w:t>The authors also acknowledge financial support under the National Recovery and Resilience Plan (NRRP), Mission 4, Component 2, Investment 1.1, Call for tender No. 104, published on 2.2.2022 by the Italian Ministry of University and Research (MUR), funded by the European Union – NextGenerationEU – Project Title “Cellular agriculture for sustainable and innovative food production (CELLtoFOOD)” – CUP G53D23003940006 – Grant Assignment Decree No. 1048 adopted on 7.14.2023 by the Italian Ministry of Ministry of University and Research (MUR).</w:t>
      </w:r>
    </w:p>
    <w:p w14:paraId="759989DD" w14:textId="37C28054" w:rsidR="00716A8F" w:rsidRDefault="00716A8F">
      <w:pPr>
        <w:spacing w:after="0" w:line="240" w:lineRule="auto"/>
        <w:jc w:val="both"/>
        <w:rPr>
          <w:rFonts w:ascii="Arial" w:hAnsi="Arial" w:cs="Arial"/>
          <w:sz w:val="20"/>
          <w:szCs w:val="20"/>
        </w:rPr>
      </w:pPr>
    </w:p>
    <w:sectPr w:rsidR="00716A8F">
      <w:headerReference w:type="even" r:id="rId7"/>
      <w:headerReference w:type="default" r:id="rId8"/>
      <w:footerReference w:type="even" r:id="rId9"/>
      <w:footerReference w:type="default" r:id="rId10"/>
      <w:headerReference w:type="first" r:id="rId11"/>
      <w:footerReference w:type="first" r:id="rId12"/>
      <w:pgSz w:w="11906" w:h="16838"/>
      <w:pgMar w:top="1701" w:right="1985" w:bottom="1701" w:left="1985" w:header="709" w:footer="709"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3DE2E2" w14:textId="77777777" w:rsidR="00A037E8" w:rsidRDefault="00A037E8">
      <w:pPr>
        <w:spacing w:after="0" w:line="240" w:lineRule="auto"/>
      </w:pPr>
      <w:r>
        <w:separator/>
      </w:r>
    </w:p>
  </w:endnote>
  <w:endnote w:type="continuationSeparator" w:id="0">
    <w:p w14:paraId="707744C6" w14:textId="77777777" w:rsidR="00A037E8" w:rsidRDefault="00A037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5BCF" w14:textId="77777777" w:rsidR="00716A8F" w:rsidRDefault="00716A8F">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14EFA7" w14:textId="77777777" w:rsidR="00716A8F" w:rsidRDefault="00716A8F">
    <w:pPr>
      <w:pStyle w:val="Pidipagina"/>
      <w:spacing w:after="0" w:line="240" w:lineRule="auto"/>
      <w:rPr>
        <w:rFonts w:ascii="Arial" w:hAnsi="Arial" w:cs="Arial"/>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C7E442" w14:textId="77777777" w:rsidR="00716A8F" w:rsidRDefault="00716A8F">
    <w:pPr>
      <w:pStyle w:val="Pidipagina"/>
      <w:spacing w:after="0" w:line="240" w:lineRule="auto"/>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3CDB6F" w14:textId="77777777" w:rsidR="00A037E8" w:rsidRDefault="00A037E8">
      <w:pPr>
        <w:spacing w:after="0" w:line="240" w:lineRule="auto"/>
      </w:pPr>
      <w:r>
        <w:separator/>
      </w:r>
    </w:p>
  </w:footnote>
  <w:footnote w:type="continuationSeparator" w:id="0">
    <w:p w14:paraId="7165256D" w14:textId="77777777" w:rsidR="00A037E8" w:rsidRDefault="00A037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21340" w14:textId="77777777" w:rsidR="00716A8F" w:rsidRDefault="00716A8F">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086174" w14:textId="77777777" w:rsidR="00716A8F" w:rsidRDefault="00716A8F">
    <w:pPr>
      <w:pStyle w:val="Intestazione"/>
      <w:spacing w:after="0" w:line="240" w:lineRule="auto"/>
      <w:jc w:val="cent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A2BEE5" w14:textId="77777777" w:rsidR="00716A8F" w:rsidRDefault="00716A8F">
    <w:pPr>
      <w:pStyle w:val="Intestazione"/>
      <w:spacing w:after="0" w:line="240" w:lineRule="auto"/>
      <w:jc w:val="center"/>
      <w:rPr>
        <w:rFonts w:ascii="Arial" w:hAnsi="Arial" w:cs="Arial"/>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1"/>
  <w:proofState w:spelling="clean"/>
  <w:defaultTabStop w:val="720"/>
  <w:autoHyphenation/>
  <w:hyphenationZone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A8F"/>
    <w:rsid w:val="00000847"/>
    <w:rsid w:val="00460088"/>
    <w:rsid w:val="00716A8F"/>
    <w:rsid w:val="0082454F"/>
    <w:rsid w:val="008427FC"/>
    <w:rsid w:val="008D73F2"/>
    <w:rsid w:val="00A037E8"/>
    <w:rsid w:val="00BA3A4B"/>
    <w:rsid w:val="00CE5FB6"/>
    <w:rsid w:val="00EA1CFF"/>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C6750E"/>
  <w15:docId w15:val="{61B6D279-3CD8-44A1-A0C0-5BB2CD5CA5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E2361"/>
    <w:pPr>
      <w:spacing w:after="200" w:line="276" w:lineRule="auto"/>
    </w:pPr>
    <w:rPr>
      <w:sz w:val="22"/>
      <w:szCs w:val="2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uiPriority w:val="22"/>
    <w:qFormat/>
    <w:rsid w:val="00392E85"/>
    <w:rPr>
      <w:b/>
      <w:bCs/>
    </w:rPr>
  </w:style>
  <w:style w:type="character" w:customStyle="1" w:styleId="PidipaginaCarattere">
    <w:name w:val="Piè di pagina Carattere"/>
    <w:link w:val="Pidipagina"/>
    <w:qFormat/>
    <w:rsid w:val="00494BA3"/>
    <w:rPr>
      <w:sz w:val="22"/>
      <w:szCs w:val="22"/>
      <w:lang w:eastAsia="ar-SA"/>
    </w:rPr>
  </w:style>
  <w:style w:type="character" w:styleId="Collegamentoipertestuale">
    <w:name w:val="Hyperlink"/>
    <w:uiPriority w:val="99"/>
    <w:unhideWhenUsed/>
    <w:rsid w:val="00494BA3"/>
    <w:rPr>
      <w:color w:val="0000FF"/>
      <w:u w:val="single"/>
    </w:rPr>
  </w:style>
  <w:style w:type="character" w:customStyle="1" w:styleId="IntestazioneCarattere">
    <w:name w:val="Intestazione Carattere"/>
    <w:link w:val="Intestazione"/>
    <w:uiPriority w:val="99"/>
    <w:qFormat/>
    <w:rsid w:val="00494BA3"/>
    <w:rPr>
      <w:sz w:val="22"/>
      <w:szCs w:val="22"/>
    </w:rPr>
  </w:style>
  <w:style w:type="paragraph" w:customStyle="1" w:styleId="Heading">
    <w:name w:val="Heading"/>
    <w:basedOn w:val="Normale"/>
    <w:next w:val="Corpotesto"/>
    <w:qFormat/>
    <w:pPr>
      <w:keepNext/>
      <w:spacing w:before="240" w:after="120"/>
    </w:pPr>
    <w:rPr>
      <w:rFonts w:ascii="Liberation Sans" w:eastAsia="Microsoft YaHei" w:hAnsi="Liberation Sans" w:cs="Lucida Sans"/>
      <w:sz w:val="28"/>
      <w:szCs w:val="28"/>
    </w:rPr>
  </w:style>
  <w:style w:type="paragraph" w:styleId="Corpotesto">
    <w:name w:val="Body Text"/>
    <w:basedOn w:val="Normale"/>
    <w:pPr>
      <w:spacing w:after="140"/>
    </w:pPr>
  </w:style>
  <w:style w:type="paragraph" w:styleId="Elenco">
    <w:name w:val="List"/>
    <w:basedOn w:val="Corpotesto"/>
    <w:rPr>
      <w:rFonts w:cs="Lucida Sans"/>
    </w:rPr>
  </w:style>
  <w:style w:type="paragraph" w:styleId="Didascalia">
    <w:name w:val="caption"/>
    <w:basedOn w:val="Normale"/>
    <w:qFormat/>
    <w:pPr>
      <w:suppressLineNumbers/>
      <w:spacing w:before="120" w:after="120"/>
    </w:pPr>
    <w:rPr>
      <w:rFonts w:cs="Lucida Sans"/>
      <w:i/>
      <w:iCs/>
      <w:sz w:val="24"/>
      <w:szCs w:val="24"/>
    </w:rPr>
  </w:style>
  <w:style w:type="paragraph" w:customStyle="1" w:styleId="Index">
    <w:name w:val="Index"/>
    <w:basedOn w:val="Normale"/>
    <w:qFormat/>
    <w:pPr>
      <w:suppressLineNumbers/>
    </w:pPr>
    <w:rPr>
      <w:rFonts w:cs="Lucida Sans"/>
    </w:rPr>
  </w:style>
  <w:style w:type="paragraph" w:customStyle="1" w:styleId="HeaderandFooter">
    <w:name w:val="Header and Footer"/>
    <w:basedOn w:val="Normale"/>
    <w:qFormat/>
  </w:style>
  <w:style w:type="paragraph" w:styleId="Pidipagina">
    <w:name w:val="footer"/>
    <w:basedOn w:val="Normale"/>
    <w:link w:val="PidipaginaCarattere"/>
    <w:rsid w:val="00494BA3"/>
    <w:pPr>
      <w:tabs>
        <w:tab w:val="center" w:pos="4320"/>
        <w:tab w:val="right" w:pos="8640"/>
      </w:tabs>
    </w:pPr>
    <w:rPr>
      <w:lang w:val="x-none" w:eastAsia="ar-SA"/>
    </w:rPr>
  </w:style>
  <w:style w:type="paragraph" w:styleId="Intestazione">
    <w:name w:val="header"/>
    <w:basedOn w:val="Normale"/>
    <w:link w:val="IntestazioneCarattere"/>
    <w:uiPriority w:val="99"/>
    <w:unhideWhenUsed/>
    <w:rsid w:val="00494BA3"/>
    <w:pPr>
      <w:tabs>
        <w:tab w:val="center" w:pos="4680"/>
        <w:tab w:val="right" w:pos="9360"/>
      </w:tabs>
    </w:pPr>
    <w:rPr>
      <w:lang w:val="x-none" w:eastAsia="x-none"/>
    </w:rPr>
  </w:style>
  <w:style w:type="paragraph" w:customStyle="1" w:styleId="MDPI17abstract">
    <w:name w:val="MDPI_1.7_abstract"/>
    <w:next w:val="Normale"/>
    <w:qFormat/>
    <w:rsid w:val="00000847"/>
    <w:pPr>
      <w:suppressAutoHyphens w:val="0"/>
      <w:adjustRightInd w:val="0"/>
      <w:snapToGrid w:val="0"/>
      <w:spacing w:before="240" w:line="280" w:lineRule="atLeast"/>
      <w:ind w:left="2608"/>
      <w:jc w:val="both"/>
    </w:pPr>
    <w:rPr>
      <w:rFonts w:ascii="Palatino Linotype" w:eastAsia="Times New Roman" w:hAnsi="Palatino Linotype"/>
      <w:color w:val="000000"/>
      <w:szCs w:val="22"/>
      <w:lang w:eastAsia="de-DE" w:bidi="en-US"/>
    </w:rPr>
  </w:style>
  <w:style w:type="character" w:customStyle="1" w:styleId="ANMauthorsaddressCarCar">
    <w:name w:val="ANM authors address Car Car"/>
    <w:link w:val="ANMauthorsaddress"/>
    <w:uiPriority w:val="99"/>
    <w:locked/>
    <w:rsid w:val="00000847"/>
    <w:rPr>
      <w:rFonts w:ascii="Arial" w:hAnsi="Arial"/>
      <w:i/>
      <w:lang w:eastAsia="fr-FR"/>
    </w:rPr>
  </w:style>
  <w:style w:type="paragraph" w:customStyle="1" w:styleId="ANMauthorsaddress">
    <w:name w:val="ANM authors address"/>
    <w:next w:val="Normale"/>
    <w:link w:val="ANMauthorsaddressCarCar"/>
    <w:uiPriority w:val="99"/>
    <w:qFormat/>
    <w:rsid w:val="00000847"/>
    <w:pPr>
      <w:suppressAutoHyphens w:val="0"/>
      <w:spacing w:line="480" w:lineRule="auto"/>
    </w:pPr>
    <w:rPr>
      <w:rFonts w:ascii="Arial" w:hAnsi="Arial"/>
      <w:i/>
      <w:lang w:eastAsia="fr-FR"/>
    </w:rPr>
  </w:style>
  <w:style w:type="paragraph" w:customStyle="1" w:styleId="ANMsuperscript">
    <w:name w:val="ANM superscript"/>
    <w:next w:val="Normale"/>
    <w:link w:val="ANMsuperscriptCar"/>
    <w:uiPriority w:val="99"/>
    <w:qFormat/>
    <w:rsid w:val="00000847"/>
    <w:pPr>
      <w:suppressAutoHyphens w:val="0"/>
      <w:spacing w:line="480" w:lineRule="auto"/>
    </w:pPr>
    <w:rPr>
      <w:rFonts w:ascii="Arial" w:eastAsia="Times New Roman" w:hAnsi="Arial"/>
      <w:sz w:val="24"/>
      <w:szCs w:val="24"/>
      <w:vertAlign w:val="superscript"/>
      <w:lang w:val="en-GB" w:eastAsia="fr-FR"/>
    </w:rPr>
  </w:style>
  <w:style w:type="character" w:customStyle="1" w:styleId="ANMsuperscriptCar">
    <w:name w:val="ANM superscript Car"/>
    <w:link w:val="ANMsuperscript"/>
    <w:uiPriority w:val="99"/>
    <w:locked/>
    <w:rsid w:val="00000847"/>
    <w:rPr>
      <w:rFonts w:ascii="Arial" w:eastAsia="Times New Roman" w:hAnsi="Arial"/>
      <w:sz w:val="24"/>
      <w:szCs w:val="24"/>
      <w:vertAlign w:val="superscript"/>
      <w:lang w:val="en-GB" w:eastAsia="fr-FR"/>
    </w:rPr>
  </w:style>
  <w:style w:type="character" w:styleId="Menzionenonrisolta">
    <w:name w:val="Unresolved Mention"/>
    <w:basedOn w:val="Carpredefinitoparagrafo"/>
    <w:uiPriority w:val="99"/>
    <w:semiHidden/>
    <w:unhideWhenUsed/>
    <w:rsid w:val="00000847"/>
    <w:rPr>
      <w:color w:val="605E5C"/>
      <w:shd w:val="clear" w:color="auto" w:fill="E1DFDD"/>
    </w:rPr>
  </w:style>
  <w:style w:type="paragraph" w:customStyle="1" w:styleId="MDPI62backmatter">
    <w:name w:val="MDPI_6.2_back_matter"/>
    <w:qFormat/>
    <w:rsid w:val="00000847"/>
    <w:pPr>
      <w:suppressAutoHyphens w:val="0"/>
      <w:adjustRightInd w:val="0"/>
      <w:snapToGrid w:val="0"/>
      <w:spacing w:after="120" w:line="280" w:lineRule="atLeast"/>
      <w:ind w:left="2608"/>
      <w:jc w:val="both"/>
    </w:pPr>
    <w:rPr>
      <w:rFonts w:ascii="Palatino Linotype" w:eastAsia="Times New Roman" w:hAnsi="Palatino Linotype"/>
      <w:snapToGrid w:val="0"/>
      <w:color w:val="000000"/>
      <w:sz w:val="18"/>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luciano.pinotti@unimi.it" TargetMode="External"/><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400</Words>
  <Characters>2284</Characters>
  <Application>Microsoft Office Word</Application>
  <DocSecurity>0</DocSecurity>
  <Lines>19</Lines>
  <Paragraphs>5</Paragraphs>
  <ScaleCrop>false</ScaleCrop>
  <Company>Grizli777</Company>
  <LinksUpToDate>false</LinksUpToDate>
  <CharactersWithSpaces>2679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NN</dc:creator>
  <dc:description/>
  <cp:lastModifiedBy>Davide Lanzoni</cp:lastModifiedBy>
  <cp:revision>4</cp:revision>
  <dcterms:created xsi:type="dcterms:W3CDTF">2025-07-30T07:55:00Z</dcterms:created>
  <dcterms:modified xsi:type="dcterms:W3CDTF">2025-09-09T06:33:00Z</dcterms:modified>
  <dc:language>sr-Latn-RS</dc:language>
</cp:coreProperties>
</file>