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7B7621" w:rsidR="00D33614" w:rsidP="007B7621" w:rsidRDefault="0823AD1D" w14:paraId="5E37D716" w14:textId="2FFD0958">
      <w:pPr>
        <w:spacing w:after="0" w:line="360" w:lineRule="auto"/>
        <w:jc w:val="center"/>
        <w:rPr>
          <w:rFonts w:ascii="Times New Roman" w:hAnsi="Times New Roman" w:cs="Times New Roman"/>
          <w:b/>
          <w:bCs/>
          <w:sz w:val="28"/>
          <w:szCs w:val="28"/>
        </w:rPr>
      </w:pPr>
      <w:bookmarkStart w:name="_Hlk77067911" w:id="0"/>
      <w:r w:rsidRPr="0823AD1D">
        <w:rPr>
          <w:rFonts w:ascii="Times New Roman" w:hAnsi="Times New Roman" w:cs="Times New Roman"/>
          <w:b/>
          <w:bCs/>
          <w:sz w:val="28"/>
          <w:szCs w:val="28"/>
        </w:rPr>
        <w:t>IV giornata dell’ASLI per il dottorato di ricerca</w:t>
      </w:r>
    </w:p>
    <w:p w:rsidRPr="007B7621" w:rsidR="007B7621" w:rsidP="007B7621" w:rsidRDefault="0823AD1D" w14:paraId="195C515C" w14:textId="34A4D215">
      <w:pPr>
        <w:spacing w:after="0" w:line="360" w:lineRule="auto"/>
        <w:jc w:val="center"/>
        <w:rPr>
          <w:rFonts w:ascii="Times New Roman" w:hAnsi="Times New Roman" w:cs="Times New Roman"/>
          <w:b/>
          <w:bCs/>
        </w:rPr>
      </w:pPr>
      <w:r w:rsidRPr="0823AD1D">
        <w:rPr>
          <w:rFonts w:ascii="Times New Roman" w:hAnsi="Times New Roman" w:cs="Times New Roman"/>
          <w:b/>
          <w:bCs/>
        </w:rPr>
        <w:t>Firenze, Accademia della Crusca</w:t>
      </w:r>
    </w:p>
    <w:p w:rsidRPr="007B7621" w:rsidR="007B7621" w:rsidP="007B7621" w:rsidRDefault="0823AD1D" w14:paraId="321C4366" w14:textId="301D5F44">
      <w:pPr>
        <w:spacing w:after="0" w:line="360" w:lineRule="auto"/>
        <w:jc w:val="center"/>
        <w:rPr>
          <w:rFonts w:ascii="Times New Roman" w:hAnsi="Times New Roman" w:cs="Times New Roman"/>
          <w:b/>
          <w:bCs/>
          <w:sz w:val="24"/>
          <w:szCs w:val="24"/>
        </w:rPr>
      </w:pPr>
      <w:r w:rsidRPr="0823AD1D">
        <w:rPr>
          <w:rFonts w:ascii="Times New Roman" w:hAnsi="Times New Roman" w:cs="Times New Roman"/>
          <w:b/>
          <w:bCs/>
        </w:rPr>
        <w:t>2-4 dicembre 2021</w:t>
      </w:r>
    </w:p>
    <w:p w:rsidR="004B2302" w:rsidP="0823AD1D" w:rsidRDefault="004B2302" w14:paraId="54191F10" w14:textId="71BFB073">
      <w:pPr>
        <w:spacing w:after="0" w:line="360" w:lineRule="auto"/>
        <w:jc w:val="center"/>
        <w:rPr>
          <w:rFonts w:ascii="Times New Roman" w:hAnsi="Times New Roman" w:cs="Times New Roman"/>
        </w:rPr>
      </w:pPr>
    </w:p>
    <w:p w:rsidR="007B7621" w:rsidP="0823AD1D" w:rsidRDefault="007B7621" w14:paraId="61E1138D" w14:textId="77777777">
      <w:pPr>
        <w:spacing w:after="0" w:line="360" w:lineRule="auto"/>
        <w:jc w:val="center"/>
        <w:rPr>
          <w:rFonts w:ascii="Times New Roman" w:hAnsi="Times New Roman" w:cs="Times New Roman"/>
        </w:rPr>
      </w:pPr>
    </w:p>
    <w:p w:rsidRPr="007B7621" w:rsidR="007B7621" w:rsidP="0823AD1D" w:rsidRDefault="0823AD1D" w14:paraId="4A1C3F3B" w14:textId="6FDF1C8C">
      <w:pPr>
        <w:spacing w:after="0" w:line="360" w:lineRule="auto"/>
        <w:jc w:val="center"/>
        <w:rPr>
          <w:rFonts w:ascii="Times New Roman" w:hAnsi="Times New Roman" w:cs="Times New Roman"/>
          <w:b/>
          <w:bCs/>
          <w:i/>
          <w:iCs/>
          <w:sz w:val="24"/>
          <w:szCs w:val="24"/>
        </w:rPr>
      </w:pPr>
      <w:r w:rsidRPr="0823AD1D">
        <w:rPr>
          <w:rFonts w:ascii="Times New Roman" w:hAnsi="Times New Roman" w:cs="Times New Roman"/>
          <w:b/>
          <w:bCs/>
          <w:i/>
          <w:iCs/>
          <w:sz w:val="24"/>
          <w:szCs w:val="24"/>
        </w:rPr>
        <w:t>Parole migranti. I migratismi tra letteratura e lingua comune</w:t>
      </w:r>
    </w:p>
    <w:p w:rsidRPr="007B7621" w:rsidR="007B7621" w:rsidP="5B69CCE1" w:rsidRDefault="5B69CCE1" w14:paraId="7D5DBE5F" w14:textId="733664CC">
      <w:pPr>
        <w:spacing w:after="0" w:line="360" w:lineRule="auto"/>
        <w:jc w:val="center"/>
        <w:rPr>
          <w:rFonts w:ascii="Times New Roman" w:hAnsi="Times New Roman" w:cs="Times New Roman"/>
          <w:b/>
          <w:bCs/>
        </w:rPr>
      </w:pPr>
      <w:r w:rsidRPr="5B69CCE1">
        <w:rPr>
          <w:rFonts w:ascii="Times New Roman" w:hAnsi="Times New Roman" w:cs="Times New Roman"/>
          <w:b/>
          <w:bCs/>
        </w:rPr>
        <w:t xml:space="preserve">Jacopo Ferrari </w:t>
      </w:r>
    </w:p>
    <w:p w:rsidRPr="007B7621" w:rsidR="007B7621" w:rsidP="007B7621" w:rsidRDefault="5B69CCE1" w14:paraId="5D571AC6" w14:textId="6849E733">
      <w:pPr>
        <w:spacing w:after="0" w:line="360" w:lineRule="auto"/>
        <w:jc w:val="center"/>
        <w:rPr>
          <w:rFonts w:ascii="Times New Roman" w:hAnsi="Times New Roman" w:cs="Times New Roman"/>
          <w:b/>
          <w:bCs/>
        </w:rPr>
      </w:pPr>
      <w:r w:rsidRPr="5B69CCE1">
        <w:rPr>
          <w:rFonts w:ascii="Times New Roman" w:hAnsi="Times New Roman" w:cs="Times New Roman"/>
          <w:b/>
          <w:bCs/>
        </w:rPr>
        <w:t>(Università degli Studi di Milano)</w:t>
      </w:r>
    </w:p>
    <w:p w:rsidR="0080393E" w:rsidP="002662B0" w:rsidRDefault="0080393E" w14:paraId="5D368CC6" w14:textId="10C369DD">
      <w:pPr>
        <w:spacing w:after="0" w:line="360" w:lineRule="auto"/>
        <w:jc w:val="both"/>
        <w:rPr>
          <w:rFonts w:ascii="Times New Roman" w:hAnsi="Times New Roman" w:cs="Times New Roman"/>
        </w:rPr>
      </w:pPr>
    </w:p>
    <w:p w:rsidR="0080393E" w:rsidP="002662B0" w:rsidRDefault="0080393E" w14:paraId="33C10646" w14:textId="77777777">
      <w:pPr>
        <w:spacing w:after="0" w:line="360" w:lineRule="auto"/>
        <w:jc w:val="both"/>
        <w:rPr>
          <w:rFonts w:ascii="Times New Roman" w:hAnsi="Times New Roman" w:cs="Times New Roman"/>
        </w:rPr>
      </w:pPr>
    </w:p>
    <w:p w:rsidR="002F027B" w:rsidP="61FEF04A" w:rsidRDefault="5B69CCE1" w14:paraId="09A5325F" w14:textId="234695A5">
      <w:pPr>
        <w:spacing w:after="0" w:line="360" w:lineRule="auto"/>
        <w:jc w:val="both"/>
        <w:rPr>
          <w:rFonts w:ascii="Times New Roman" w:hAnsi="Times New Roman" w:cs="Times New Roman"/>
        </w:rPr>
      </w:pPr>
      <w:r w:rsidRPr="455A02EA" w:rsidR="455A02EA">
        <w:rPr>
          <w:rFonts w:ascii="Times New Roman" w:hAnsi="Times New Roman" w:cs="Times New Roman"/>
        </w:rPr>
        <w:t xml:space="preserve">Nella notte tra il 23 e il 24 agosto 1989 a Villa Literno, in provincia di Caserta, venne assassinato, nella baracca dove dormiva assieme ad altri braccianti, Jerry </w:t>
      </w:r>
      <w:proofErr w:type="spellStart"/>
      <w:r w:rsidRPr="455A02EA" w:rsidR="455A02EA">
        <w:rPr>
          <w:rFonts w:ascii="Times New Roman" w:hAnsi="Times New Roman" w:cs="Times New Roman"/>
        </w:rPr>
        <w:t>Essan</w:t>
      </w:r>
      <w:proofErr w:type="spellEnd"/>
      <w:r w:rsidRPr="455A02EA" w:rsidR="455A02EA">
        <w:rPr>
          <w:rFonts w:ascii="Times New Roman" w:hAnsi="Times New Roman" w:cs="Times New Roman"/>
        </w:rPr>
        <w:t xml:space="preserve"> Masslo, rifugiato sudafricano che lavorava senza contratto come raccoglitore di pomodori. L’episodio fece scalpore, trovò ampia risonanza nei media, i funerali furono trasmessi in diretta dalla RAI, si ebbero «manifestazioni locali e nazionali» e per la prima volta «la diffusione di una coscienza antirazzista», come ha scritto Michele Colucci nella sua </w:t>
      </w:r>
      <w:r w:rsidRPr="455A02EA" w:rsidR="455A02EA">
        <w:rPr>
          <w:rFonts w:ascii="Times New Roman" w:hAnsi="Times New Roman" w:cs="Times New Roman"/>
          <w:i w:val="1"/>
          <w:iCs w:val="1"/>
        </w:rPr>
        <w:t>Storia dell’immigrazione straniera in Italia</w:t>
      </w:r>
      <w:r w:rsidRPr="455A02EA" w:rsidR="455A02EA">
        <w:rPr>
          <w:rFonts w:ascii="Times New Roman" w:hAnsi="Times New Roman" w:cs="Times New Roman"/>
        </w:rPr>
        <w:t xml:space="preserve">. Pochi mesi dopo, in Parlamento venne approvata la prima legge varata per disciplinare l’immigrazione clandestina, nota come “legge Martelli”.  </w:t>
      </w:r>
    </w:p>
    <w:p w:rsidR="61FEF04A" w:rsidP="61FEF04A" w:rsidRDefault="00734DEC" w14:paraId="46474CBC" w14:textId="7A47553B">
      <w:pPr>
        <w:spacing w:after="0" w:line="360" w:lineRule="auto"/>
        <w:jc w:val="both"/>
        <w:rPr>
          <w:rFonts w:ascii="Times New Roman" w:hAnsi="Times New Roman" w:cs="Times New Roman"/>
        </w:rPr>
      </w:pPr>
      <w:r w:rsidRPr="455A02EA" w:rsidR="455A02EA">
        <w:rPr>
          <w:rFonts w:ascii="Times New Roman" w:hAnsi="Times New Roman" w:cs="Times New Roman"/>
        </w:rPr>
        <w:t xml:space="preserve">Questo contesto sociale e politico ha indubbiamente favorito la nascita di una “letteratura italiana dell’immigrazione”. I primi romanzi, apparsi nel biennio 1990-1991, hanno evidenti caratteristiche comuni: si tratta di autobiografie “tematiche”, scritte da migranti che raccontano in prima persona le proprie esperienze e si fanno così testimoni autentici delle reali condizioni di vita degli immigrati in Italia; la trama è anticipata e condensata in titoli “parlanti” (come </w:t>
      </w:r>
      <w:r w:rsidRPr="455A02EA" w:rsidR="455A02EA">
        <w:rPr>
          <w:rFonts w:ascii="Times New Roman" w:hAnsi="Times New Roman" w:cs="Times New Roman"/>
          <w:i w:val="1"/>
          <w:iCs w:val="1"/>
        </w:rPr>
        <w:t xml:space="preserve">Io, venditore d’elefanti. Una vita per forza tra Dakar, Parigi e Milano </w:t>
      </w:r>
      <w:r w:rsidRPr="455A02EA" w:rsidR="455A02EA">
        <w:rPr>
          <w:rFonts w:ascii="Times New Roman" w:hAnsi="Times New Roman" w:cs="Times New Roman"/>
        </w:rPr>
        <w:t xml:space="preserve">del senegalese </w:t>
      </w:r>
      <w:proofErr w:type="spellStart"/>
      <w:r w:rsidRPr="455A02EA" w:rsidR="455A02EA">
        <w:rPr>
          <w:rFonts w:ascii="Times New Roman" w:hAnsi="Times New Roman" w:cs="Times New Roman"/>
        </w:rPr>
        <w:t>Pap</w:t>
      </w:r>
      <w:proofErr w:type="spellEnd"/>
      <w:r w:rsidRPr="455A02EA" w:rsidR="455A02EA">
        <w:rPr>
          <w:rFonts w:ascii="Times New Roman" w:hAnsi="Times New Roman" w:cs="Times New Roman"/>
        </w:rPr>
        <w:t xml:space="preserve"> </w:t>
      </w:r>
      <w:proofErr w:type="spellStart"/>
      <w:r w:rsidRPr="455A02EA" w:rsidR="455A02EA">
        <w:rPr>
          <w:rFonts w:ascii="Times New Roman" w:hAnsi="Times New Roman" w:cs="Times New Roman"/>
        </w:rPr>
        <w:t>Khouma</w:t>
      </w:r>
      <w:proofErr w:type="spellEnd"/>
      <w:r w:rsidRPr="455A02EA" w:rsidR="455A02EA">
        <w:rPr>
          <w:rFonts w:ascii="Times New Roman" w:hAnsi="Times New Roman" w:cs="Times New Roman"/>
        </w:rPr>
        <w:t xml:space="preserve"> o</w:t>
      </w:r>
      <w:r w:rsidRPr="455A02EA" w:rsidR="455A02EA">
        <w:rPr>
          <w:rFonts w:ascii="Times New Roman" w:hAnsi="Times New Roman" w:cs="Times New Roman"/>
          <w:i w:val="1"/>
          <w:iCs w:val="1"/>
        </w:rPr>
        <w:t xml:space="preserve"> Immigrato </w:t>
      </w:r>
      <w:r w:rsidRPr="455A02EA" w:rsidR="455A02EA">
        <w:rPr>
          <w:rFonts w:ascii="Times New Roman" w:hAnsi="Times New Roman" w:cs="Times New Roman"/>
        </w:rPr>
        <w:t xml:space="preserve">del tunisino Salah </w:t>
      </w:r>
      <w:proofErr w:type="spellStart"/>
      <w:r w:rsidRPr="455A02EA" w:rsidR="455A02EA">
        <w:rPr>
          <w:rFonts w:ascii="Times New Roman" w:hAnsi="Times New Roman" w:cs="Times New Roman"/>
        </w:rPr>
        <w:t>Methnani</w:t>
      </w:r>
      <w:proofErr w:type="spellEnd"/>
      <w:r w:rsidRPr="455A02EA" w:rsidR="455A02EA">
        <w:rPr>
          <w:rFonts w:ascii="Times New Roman" w:hAnsi="Times New Roman" w:cs="Times New Roman"/>
        </w:rPr>
        <w:t xml:space="preserve">), e la scrittura non è autonoma, ma collaborativa: l’autore straniero è sempre affiancato da un curatore o coautore madrelingua che lo assiste nella stesura del testo. </w:t>
      </w:r>
    </w:p>
    <w:p w:rsidR="001261B3" w:rsidP="61FEF04A" w:rsidRDefault="001261B3" w14:paraId="6B02F302" w14:textId="3B2095E8">
      <w:pPr>
        <w:spacing w:after="0" w:line="360" w:lineRule="auto"/>
        <w:jc w:val="both"/>
        <w:rPr>
          <w:rFonts w:ascii="Times New Roman" w:hAnsi="Times New Roman" w:cs="Times New Roman"/>
        </w:rPr>
      </w:pPr>
      <w:r>
        <w:rPr>
          <w:rFonts w:ascii="Times New Roman" w:hAnsi="Times New Roman" w:cs="Times New Roman"/>
        </w:rPr>
        <w:t xml:space="preserve">Trent’anni dopo, oggi, </w:t>
      </w:r>
      <w:r w:rsidR="005C1F9A">
        <w:rPr>
          <w:rFonts w:ascii="Times New Roman" w:hAnsi="Times New Roman" w:cs="Times New Roman"/>
        </w:rPr>
        <w:t>si verificano ancora episodi tragici</w:t>
      </w:r>
      <w:r w:rsidR="006B3024">
        <w:rPr>
          <w:rFonts w:ascii="Times New Roman" w:hAnsi="Times New Roman" w:cs="Times New Roman"/>
        </w:rPr>
        <w:t xml:space="preserve"> nelle province d’Italia</w:t>
      </w:r>
      <w:r w:rsidR="005C1F9A">
        <w:rPr>
          <w:rFonts w:ascii="Times New Roman" w:hAnsi="Times New Roman" w:cs="Times New Roman"/>
        </w:rPr>
        <w:t>, dove la furia razzista non si abbatte più solo su</w:t>
      </w:r>
      <w:r w:rsidR="006B3024">
        <w:rPr>
          <w:rFonts w:ascii="Times New Roman" w:hAnsi="Times New Roman" w:cs="Times New Roman"/>
        </w:rPr>
        <w:t xml:space="preserve">gli immigrati, ma anche </w:t>
      </w:r>
      <w:r w:rsidR="005C1F9A">
        <w:rPr>
          <w:rFonts w:ascii="Times New Roman" w:hAnsi="Times New Roman" w:cs="Times New Roman"/>
        </w:rPr>
        <w:t>su</w:t>
      </w:r>
      <w:r w:rsidR="006B3024">
        <w:rPr>
          <w:rFonts w:ascii="Times New Roman" w:hAnsi="Times New Roman" w:cs="Times New Roman"/>
        </w:rPr>
        <w:t>i loro figli, come Willy Monteiro Duarte,</w:t>
      </w:r>
      <w:r w:rsidR="005C1F9A">
        <w:rPr>
          <w:rFonts w:ascii="Times New Roman" w:hAnsi="Times New Roman" w:cs="Times New Roman"/>
        </w:rPr>
        <w:t xml:space="preserve"> nato a Roma da genitori capoverdiani,</w:t>
      </w:r>
      <w:r w:rsidR="006B3024">
        <w:rPr>
          <w:rFonts w:ascii="Times New Roman" w:hAnsi="Times New Roman" w:cs="Times New Roman"/>
        </w:rPr>
        <w:t xml:space="preserve"> pestato fino alla morte a Colleferro il 6 settembre 2020. </w:t>
      </w:r>
      <w:r w:rsidR="004E7831">
        <w:rPr>
          <w:rFonts w:ascii="Times New Roman" w:hAnsi="Times New Roman" w:cs="Times New Roman"/>
        </w:rPr>
        <w:t>Trent’anni dopo i</w:t>
      </w:r>
      <w:r w:rsidR="005C1F9A">
        <w:rPr>
          <w:rFonts w:ascii="Times New Roman" w:hAnsi="Times New Roman" w:cs="Times New Roman"/>
        </w:rPr>
        <w:t xml:space="preserve"> flussi migratori non sono </w:t>
      </w:r>
      <w:r w:rsidR="004E7831">
        <w:rPr>
          <w:rFonts w:ascii="Times New Roman" w:hAnsi="Times New Roman" w:cs="Times New Roman"/>
        </w:rPr>
        <w:t>certo</w:t>
      </w:r>
      <w:r w:rsidR="005C1F9A">
        <w:rPr>
          <w:rFonts w:ascii="Times New Roman" w:hAnsi="Times New Roman" w:cs="Times New Roman"/>
        </w:rPr>
        <w:t xml:space="preserve"> terminati, </w:t>
      </w:r>
      <w:r w:rsidR="004E7831">
        <w:rPr>
          <w:rFonts w:ascii="Times New Roman" w:hAnsi="Times New Roman" w:cs="Times New Roman"/>
        </w:rPr>
        <w:t>conseguenza</w:t>
      </w:r>
      <w:r w:rsidR="005C1F9A">
        <w:rPr>
          <w:rFonts w:ascii="Times New Roman" w:hAnsi="Times New Roman" w:cs="Times New Roman"/>
        </w:rPr>
        <w:t xml:space="preserve"> di </w:t>
      </w:r>
      <w:r w:rsidR="004E7831">
        <w:rPr>
          <w:rFonts w:ascii="Times New Roman" w:hAnsi="Times New Roman" w:cs="Times New Roman"/>
        </w:rPr>
        <w:t xml:space="preserve">imponenti </w:t>
      </w:r>
      <w:r w:rsidR="005C1F9A">
        <w:rPr>
          <w:rFonts w:ascii="Times New Roman" w:hAnsi="Times New Roman" w:cs="Times New Roman"/>
        </w:rPr>
        <w:t xml:space="preserve">crisi umanitarie, economiche, climatiche. Vecchie ferite si riaprono, come in Afghanistan, con i talebani che riprendono il potere e i giovani </w:t>
      </w:r>
      <w:r w:rsidR="008E3837">
        <w:rPr>
          <w:rFonts w:ascii="Times New Roman" w:hAnsi="Times New Roman" w:cs="Times New Roman"/>
        </w:rPr>
        <w:t xml:space="preserve">di nuovo </w:t>
      </w:r>
      <w:r w:rsidR="005C1F9A">
        <w:rPr>
          <w:rFonts w:ascii="Times New Roman" w:hAnsi="Times New Roman" w:cs="Times New Roman"/>
        </w:rPr>
        <w:t xml:space="preserve">costretti ad emigrare: Alì Ehsani, scappato dall’Afghanistan vent’anni fa e divenuto scrittore in Italia (autore dei libri </w:t>
      </w:r>
      <w:r w:rsidRPr="5B69CCE1" w:rsidR="005C1F9A">
        <w:rPr>
          <w:rFonts w:ascii="Times New Roman" w:hAnsi="Times New Roman" w:cs="Times New Roman"/>
          <w:i/>
          <w:iCs/>
        </w:rPr>
        <w:t>Stanotte guardiamo le stelle</w:t>
      </w:r>
      <w:r w:rsidR="005C1F9A">
        <w:rPr>
          <w:rFonts w:ascii="Times New Roman" w:hAnsi="Times New Roman" w:cs="Times New Roman"/>
        </w:rPr>
        <w:t xml:space="preserve"> e </w:t>
      </w:r>
      <w:r w:rsidRPr="5B69CCE1" w:rsidR="005C1F9A">
        <w:rPr>
          <w:rFonts w:ascii="Times New Roman" w:hAnsi="Times New Roman" w:cs="Times New Roman"/>
          <w:i/>
          <w:iCs/>
        </w:rPr>
        <w:t>I ragazzi hanno grandi sogni</w:t>
      </w:r>
      <w:r w:rsidR="005C1F9A">
        <w:rPr>
          <w:rFonts w:ascii="Times New Roman" w:hAnsi="Times New Roman" w:cs="Times New Roman"/>
        </w:rPr>
        <w:t xml:space="preserve">, scritti insieme a Francesco Casolo), in un’intervista ha raccontato che </w:t>
      </w:r>
      <w:r w:rsidRPr="005C1F9A" w:rsidR="005C1F9A">
        <w:rPr>
          <w:rFonts w:ascii="Times New Roman" w:hAnsi="Times New Roman" w:eastAsia="Times New Roman" w:cs="Times New Roman"/>
          <w:color w:val="000000"/>
          <w:shd w:val="clear" w:color="auto" w:fill="FFFFFF"/>
          <w:lang w:eastAsia="it-IT"/>
        </w:rPr>
        <w:t xml:space="preserve">«vedere quello che sta accadendo oggi in Afghanistan significa tornare a fare i </w:t>
      </w:r>
      <w:r w:rsidRPr="005C1F9A" w:rsidR="005C1F9A">
        <w:rPr>
          <w:rFonts w:ascii="Times New Roman" w:hAnsi="Times New Roman" w:eastAsia="Times New Roman" w:cs="Times New Roman"/>
          <w:color w:val="000000"/>
          <w:shd w:val="clear" w:color="auto" w:fill="FFFFFF"/>
          <w:lang w:eastAsia="it-IT"/>
        </w:rPr>
        <w:lastRenderedPageBreak/>
        <w:t>conti con le ferite della mia vita» (</w:t>
      </w:r>
      <w:r w:rsidRPr="5B69CCE1" w:rsidR="005C1F9A">
        <w:rPr>
          <w:rFonts w:ascii="Times New Roman" w:hAnsi="Times New Roman" w:eastAsia="Times New Roman" w:cs="Times New Roman"/>
          <w:i/>
          <w:iCs/>
          <w:color w:val="000000"/>
          <w:shd w:val="clear" w:color="auto" w:fill="FFFFFF"/>
          <w:lang w:eastAsia="it-IT"/>
        </w:rPr>
        <w:t>il Foglio</w:t>
      </w:r>
      <w:r w:rsidRPr="005C1F9A" w:rsidR="005C1F9A">
        <w:rPr>
          <w:rFonts w:ascii="Times New Roman" w:hAnsi="Times New Roman" w:eastAsia="Times New Roman" w:cs="Times New Roman"/>
          <w:color w:val="000000"/>
          <w:shd w:val="clear" w:color="auto" w:fill="FFFFFF"/>
          <w:lang w:eastAsia="it-IT"/>
        </w:rPr>
        <w:t>, 17/08/2021, p. 2).</w:t>
      </w:r>
      <w:r w:rsidR="005C1F9A">
        <w:rPr>
          <w:rFonts w:ascii="Times New Roman" w:hAnsi="Times New Roman" w:eastAsia="Times New Roman" w:cs="Times New Roman"/>
          <w:color w:val="000000"/>
          <w:shd w:val="clear" w:color="auto" w:fill="FFFFFF"/>
          <w:lang w:eastAsia="it-IT"/>
        </w:rPr>
        <w:t xml:space="preserve"> </w:t>
      </w:r>
      <w:r w:rsidR="008E3837">
        <w:rPr>
          <w:rFonts w:ascii="Times New Roman" w:hAnsi="Times New Roman" w:eastAsia="Times New Roman" w:cs="Times New Roman"/>
          <w:color w:val="000000"/>
          <w:shd w:val="clear" w:color="auto" w:fill="FFFFFF"/>
          <w:lang w:eastAsia="it-IT"/>
        </w:rPr>
        <w:t>I</w:t>
      </w:r>
      <w:r w:rsidR="004E7831">
        <w:rPr>
          <w:rFonts w:ascii="Times New Roman" w:hAnsi="Times New Roman" w:eastAsia="Times New Roman" w:cs="Times New Roman"/>
          <w:color w:val="000000"/>
          <w:shd w:val="clear" w:color="auto" w:fill="FFFFFF"/>
          <w:lang w:eastAsia="it-IT"/>
        </w:rPr>
        <w:t xml:space="preserve">l legame tra cronaca quotidiana e letteratura </w:t>
      </w:r>
      <w:r w:rsidR="008E3837">
        <w:rPr>
          <w:rFonts w:ascii="Times New Roman" w:hAnsi="Times New Roman" w:eastAsia="Times New Roman" w:cs="Times New Roman"/>
          <w:color w:val="000000"/>
          <w:shd w:val="clear" w:color="auto" w:fill="FFFFFF"/>
          <w:lang w:eastAsia="it-IT"/>
        </w:rPr>
        <w:t>permane</w:t>
      </w:r>
      <w:r w:rsidR="004E7831">
        <w:rPr>
          <w:rFonts w:ascii="Times New Roman" w:hAnsi="Times New Roman" w:eastAsia="Times New Roman" w:cs="Times New Roman"/>
          <w:color w:val="000000"/>
          <w:shd w:val="clear" w:color="auto" w:fill="FFFFFF"/>
          <w:lang w:eastAsia="it-IT"/>
        </w:rPr>
        <w:t xml:space="preserve"> nelle scritture migranti, che </w:t>
      </w:r>
      <w:r w:rsidR="008E3837">
        <w:rPr>
          <w:rFonts w:ascii="Times New Roman" w:hAnsi="Times New Roman" w:eastAsia="Times New Roman" w:cs="Times New Roman"/>
          <w:color w:val="000000"/>
          <w:shd w:val="clear" w:color="auto" w:fill="FFFFFF"/>
          <w:lang w:eastAsia="it-IT"/>
        </w:rPr>
        <w:t>sono ancora</w:t>
      </w:r>
      <w:r w:rsidR="004E7831">
        <w:rPr>
          <w:rFonts w:ascii="Times New Roman" w:hAnsi="Times New Roman" w:eastAsia="Times New Roman" w:cs="Times New Roman"/>
          <w:color w:val="000000"/>
          <w:shd w:val="clear" w:color="auto" w:fill="FFFFFF"/>
          <w:lang w:eastAsia="it-IT"/>
        </w:rPr>
        <w:t>, in buona parte dei casi, scritture di testimonianza: l’impegno civile e politico degli scrittori, immigrati o figli di immigrati, si riflette nell’esigenza di un racconto “vero”</w:t>
      </w:r>
      <w:r w:rsidR="004E7831">
        <w:rPr>
          <w:rFonts w:ascii="Times New Roman" w:hAnsi="Times New Roman" w:eastAsia="Times New Roman" w:cs="Times New Roman"/>
          <w:sz w:val="24"/>
          <w:szCs w:val="24"/>
          <w:lang w:eastAsia="it-IT"/>
        </w:rPr>
        <w:t xml:space="preserve">. </w:t>
      </w:r>
      <w:r w:rsidR="006B3024">
        <w:rPr>
          <w:rFonts w:ascii="Times New Roman" w:hAnsi="Times New Roman" w:cs="Times New Roman"/>
        </w:rPr>
        <w:t>E con la reiterazione dei temi si assiste alla riproposizione</w:t>
      </w:r>
      <w:r w:rsidR="002F027B">
        <w:rPr>
          <w:rFonts w:ascii="Times New Roman" w:hAnsi="Times New Roman" w:cs="Times New Roman"/>
        </w:rPr>
        <w:t xml:space="preserve"> </w:t>
      </w:r>
      <w:r w:rsidR="006B3024">
        <w:rPr>
          <w:rFonts w:ascii="Times New Roman" w:hAnsi="Times New Roman" w:cs="Times New Roman"/>
        </w:rPr>
        <w:t xml:space="preserve">dei metodi di costruzione del testo: si leggono ancora opere scritte a quattro mani, cui è imposto un </w:t>
      </w:r>
      <w:r w:rsidRPr="5B69CCE1" w:rsidR="006B3024">
        <w:rPr>
          <w:rFonts w:ascii="Times New Roman" w:hAnsi="Times New Roman" w:cs="Times New Roman"/>
          <w:i/>
          <w:iCs/>
        </w:rPr>
        <w:t>editing</w:t>
      </w:r>
      <w:r w:rsidR="006B3024">
        <w:rPr>
          <w:rFonts w:ascii="Times New Roman" w:hAnsi="Times New Roman" w:cs="Times New Roman"/>
        </w:rPr>
        <w:t xml:space="preserve"> fortemente </w:t>
      </w:r>
      <w:r w:rsidRPr="002662B0" w:rsidR="006B3024">
        <w:rPr>
          <w:rFonts w:ascii="Times New Roman" w:hAnsi="Times New Roman" w:cs="Times New Roman"/>
        </w:rPr>
        <w:t xml:space="preserve">standardizzante </w:t>
      </w:r>
      <w:r w:rsidR="006B3024">
        <w:rPr>
          <w:rFonts w:ascii="Times New Roman" w:hAnsi="Times New Roman" w:cs="Times New Roman"/>
        </w:rPr>
        <w:t>dalle case editrici</w:t>
      </w:r>
      <w:r w:rsidR="00687489">
        <w:rPr>
          <w:rFonts w:ascii="Times New Roman" w:hAnsi="Times New Roman" w:cs="Times New Roman"/>
        </w:rPr>
        <w:t>, con la conseguente riduzione e appiattimento delle</w:t>
      </w:r>
      <w:r w:rsidRPr="002662B0" w:rsidR="006B3024">
        <w:rPr>
          <w:rFonts w:ascii="Times New Roman" w:hAnsi="Times New Roman" w:cs="Times New Roman"/>
        </w:rPr>
        <w:t xml:space="preserve"> possibilità </w:t>
      </w:r>
      <w:r w:rsidR="004E7831">
        <w:rPr>
          <w:rFonts w:ascii="Times New Roman" w:hAnsi="Times New Roman" w:cs="Times New Roman"/>
        </w:rPr>
        <w:t xml:space="preserve">creative ed </w:t>
      </w:r>
      <w:r w:rsidRPr="002662B0" w:rsidR="006B3024">
        <w:rPr>
          <w:rFonts w:ascii="Times New Roman" w:hAnsi="Times New Roman" w:cs="Times New Roman"/>
        </w:rPr>
        <w:t>espressive dell’eteroglossia</w:t>
      </w:r>
      <w:r w:rsidR="006B3024">
        <w:rPr>
          <w:rFonts w:ascii="Times New Roman" w:hAnsi="Times New Roman" w:cs="Times New Roman"/>
        </w:rPr>
        <w:t>.</w:t>
      </w:r>
    </w:p>
    <w:p w:rsidR="61FEF04A" w:rsidP="61FEF04A" w:rsidRDefault="61FEF04A" w14:paraId="2C4EC69F" w14:textId="20F93AF9">
      <w:pPr>
        <w:spacing w:after="0" w:line="360" w:lineRule="auto"/>
        <w:jc w:val="both"/>
        <w:rPr>
          <w:rFonts w:ascii="Times New Roman" w:hAnsi="Times New Roman" w:cs="Times New Roman"/>
        </w:rPr>
      </w:pPr>
    </w:p>
    <w:p w:rsidR="00DB2470" w:rsidP="61FEF04A" w:rsidRDefault="5B69CCE1" w14:paraId="4D05C2C2" w14:textId="49F92B0E">
      <w:pPr>
        <w:spacing w:after="0" w:line="360" w:lineRule="auto"/>
        <w:jc w:val="both"/>
        <w:rPr>
          <w:rFonts w:ascii="Times New Roman" w:hAnsi="Times New Roman" w:cs="Times New Roman"/>
        </w:rPr>
      </w:pPr>
      <w:r w:rsidRPr="5B69CCE1">
        <w:rPr>
          <w:rFonts w:ascii="Times New Roman" w:hAnsi="Times New Roman" w:cs="Times New Roman"/>
        </w:rPr>
        <w:t xml:space="preserve">Tuttavia, dopo tre decenni di opere e di critica, </w:t>
      </w:r>
      <w:r w:rsidR="00687489">
        <w:rPr>
          <w:rFonts w:ascii="Times New Roman" w:hAnsi="Times New Roman" w:cs="Times New Roman"/>
        </w:rPr>
        <w:t>ciò che appare senza dubbio mutat</w:t>
      </w:r>
      <w:r w:rsidR="006A66C7">
        <w:rPr>
          <w:rFonts w:ascii="Times New Roman" w:hAnsi="Times New Roman" w:cs="Times New Roman"/>
        </w:rPr>
        <w:t>a è l’accoglienza riservata a questa letteratura</w:t>
      </w:r>
      <w:r w:rsidRPr="5B69CCE1">
        <w:rPr>
          <w:rFonts w:ascii="Times New Roman" w:hAnsi="Times New Roman" w:cs="Times New Roman"/>
        </w:rPr>
        <w:t xml:space="preserve">. </w:t>
      </w:r>
      <w:r w:rsidR="006A66C7">
        <w:rPr>
          <w:rFonts w:ascii="Times New Roman" w:hAnsi="Times New Roman" w:cs="Times New Roman"/>
        </w:rPr>
        <w:t xml:space="preserve">È </w:t>
      </w:r>
      <w:r w:rsidRPr="5B69CCE1">
        <w:rPr>
          <w:rFonts w:ascii="Times New Roman" w:hAnsi="Times New Roman" w:cs="Times New Roman"/>
        </w:rPr>
        <w:t xml:space="preserve">vero che ancora nel 2009 Alberto Asor Rosa nella sua </w:t>
      </w:r>
      <w:r w:rsidRPr="5B69CCE1">
        <w:rPr>
          <w:rFonts w:ascii="Times New Roman" w:hAnsi="Times New Roman" w:cs="Times New Roman"/>
          <w:i/>
          <w:iCs/>
        </w:rPr>
        <w:t>Storia europea della letteratura italiana</w:t>
      </w:r>
      <w:r w:rsidRPr="5B69CCE1">
        <w:rPr>
          <w:rFonts w:ascii="Times New Roman" w:hAnsi="Times New Roman" w:cs="Times New Roman"/>
        </w:rPr>
        <w:t xml:space="preserve"> sosteneva che «fra pochi anni si formeranno in Italia cittadini dalle provenienze più disparate che dovranno […] leggere libri scritti in lingua italiana e, forse, scriverne» (Asor Rosa 2009: 596), una citazione questa più volte ripresa dalla critica perché significativa della cecità nei confronti dei cittadini dalle provenienze più disparate che in realtà scrivevano libri in italiano già da vent’anni. </w:t>
      </w:r>
      <w:r w:rsidR="006A66C7">
        <w:rPr>
          <w:rFonts w:ascii="Times New Roman" w:hAnsi="Times New Roman" w:cs="Times New Roman"/>
        </w:rPr>
        <w:t>Ma p</w:t>
      </w:r>
      <w:r w:rsidRPr="5B69CCE1">
        <w:rPr>
          <w:rFonts w:ascii="Times New Roman" w:hAnsi="Times New Roman" w:cs="Times New Roman"/>
        </w:rPr>
        <w:t xml:space="preserve">iù di recente, </w:t>
      </w:r>
      <w:r w:rsidR="006A66C7">
        <w:rPr>
          <w:rFonts w:ascii="Times New Roman" w:hAnsi="Times New Roman" w:cs="Times New Roman"/>
        </w:rPr>
        <w:t>a</w:t>
      </w:r>
      <w:r w:rsidR="00A159B9">
        <w:rPr>
          <w:rFonts w:ascii="Times New Roman" w:hAnsi="Times New Roman" w:cs="Times New Roman"/>
        </w:rPr>
        <w:t xml:space="preserve"> questi</w:t>
      </w:r>
      <w:r w:rsidR="006A66C7">
        <w:rPr>
          <w:rFonts w:ascii="Times New Roman" w:hAnsi="Times New Roman" w:cs="Times New Roman"/>
        </w:rPr>
        <w:t xml:space="preserve"> libri </w:t>
      </w:r>
      <w:r w:rsidR="00A159B9">
        <w:rPr>
          <w:rFonts w:ascii="Times New Roman" w:hAnsi="Times New Roman" w:cs="Times New Roman"/>
        </w:rPr>
        <w:t>e a questi autori</w:t>
      </w:r>
      <w:r w:rsidR="006A66C7">
        <w:rPr>
          <w:rFonts w:ascii="Times New Roman" w:hAnsi="Times New Roman" w:cs="Times New Roman"/>
        </w:rPr>
        <w:t xml:space="preserve"> è stato dato il giusto peso e un maggiore</w:t>
      </w:r>
      <w:r w:rsidRPr="5B69CCE1">
        <w:rPr>
          <w:rFonts w:ascii="Times New Roman" w:hAnsi="Times New Roman" w:cs="Times New Roman"/>
        </w:rPr>
        <w:t xml:space="preserve"> spazi</w:t>
      </w:r>
      <w:r w:rsidR="006A66C7">
        <w:rPr>
          <w:rFonts w:ascii="Times New Roman" w:hAnsi="Times New Roman" w:cs="Times New Roman"/>
        </w:rPr>
        <w:t>o</w:t>
      </w:r>
      <w:r w:rsidR="00A159B9">
        <w:rPr>
          <w:rFonts w:ascii="Times New Roman" w:hAnsi="Times New Roman" w:cs="Times New Roman"/>
        </w:rPr>
        <w:t xml:space="preserve"> nelle trattazioni d’insieme</w:t>
      </w:r>
      <w:r w:rsidRPr="5B69CCE1">
        <w:rPr>
          <w:rFonts w:ascii="Times New Roman" w:hAnsi="Times New Roman" w:cs="Times New Roman"/>
        </w:rPr>
        <w:t xml:space="preserve">, come </w:t>
      </w:r>
      <w:r w:rsidR="006A66C7">
        <w:rPr>
          <w:rFonts w:ascii="Times New Roman" w:hAnsi="Times New Roman" w:cs="Times New Roman"/>
        </w:rPr>
        <w:t xml:space="preserve">ad esempio </w:t>
      </w:r>
      <w:r w:rsidRPr="5B69CCE1">
        <w:rPr>
          <w:rFonts w:ascii="Times New Roman" w:hAnsi="Times New Roman" w:cs="Times New Roman"/>
        </w:rPr>
        <w:t xml:space="preserve">nel volume </w:t>
      </w:r>
      <w:r w:rsidRPr="5B69CCE1">
        <w:rPr>
          <w:rFonts w:ascii="Times New Roman" w:hAnsi="Times New Roman" w:cs="Times New Roman"/>
          <w:i/>
          <w:iCs/>
        </w:rPr>
        <w:t xml:space="preserve">Letteratura </w:t>
      </w:r>
      <w:r w:rsidRPr="5B69CCE1">
        <w:rPr>
          <w:rFonts w:ascii="Times New Roman" w:hAnsi="Times New Roman" w:cs="Times New Roman"/>
        </w:rPr>
        <w:t xml:space="preserve">de </w:t>
      </w:r>
      <w:r w:rsidRPr="5B69CCE1">
        <w:rPr>
          <w:rFonts w:ascii="Times New Roman" w:hAnsi="Times New Roman" w:cs="Times New Roman"/>
          <w:i/>
          <w:iCs/>
        </w:rPr>
        <w:t>Il contributo italiano alla storia del pensiero</w:t>
      </w:r>
      <w:r w:rsidRPr="5B69CCE1">
        <w:rPr>
          <w:rFonts w:ascii="Times New Roman" w:hAnsi="Times New Roman" w:cs="Times New Roman"/>
        </w:rPr>
        <w:t xml:space="preserve">, diretto da Giulio Ferroni ed edito dall’Istituto della Enciclopedia Italiana, in cui un capitolo autonomo, ad opera di Franca Sinopoli, è dedicato a </w:t>
      </w:r>
      <w:r w:rsidRPr="5B69CCE1">
        <w:rPr>
          <w:rFonts w:ascii="Times New Roman" w:hAnsi="Times New Roman" w:cs="Times New Roman"/>
          <w:i/>
          <w:iCs/>
        </w:rPr>
        <w:t>Scrittori e scrittrici dell’immigrazione</w:t>
      </w:r>
      <w:r w:rsidRPr="5B69CCE1">
        <w:rPr>
          <w:rFonts w:ascii="Times New Roman" w:hAnsi="Times New Roman" w:cs="Times New Roman"/>
        </w:rPr>
        <w:t xml:space="preserve">, oppure in </w:t>
      </w:r>
      <w:r w:rsidRPr="5B69CCE1">
        <w:rPr>
          <w:rFonts w:ascii="Times New Roman" w:hAnsi="Times New Roman" w:cs="Times New Roman"/>
          <w:i/>
          <w:iCs/>
        </w:rPr>
        <w:t>Il romanzo in Italia. Il secondo Novecento</w:t>
      </w:r>
      <w:r w:rsidRPr="5B69CCE1">
        <w:rPr>
          <w:rFonts w:ascii="Times New Roman" w:hAnsi="Times New Roman" w:cs="Times New Roman"/>
        </w:rPr>
        <w:t xml:space="preserve">, curato da Gianfranco Alfano e Francesco de Cristofaro ed edito da Carocci, dove Chiara Mengozzi ha firmato il capitolo intitolato </w:t>
      </w:r>
      <w:r w:rsidRPr="5B69CCE1">
        <w:rPr>
          <w:rFonts w:ascii="Times New Roman" w:hAnsi="Times New Roman" w:cs="Times New Roman"/>
          <w:i/>
          <w:iCs/>
        </w:rPr>
        <w:t>Il romanzo degli altri: postcoloniale e migranza</w:t>
      </w:r>
      <w:r w:rsidRPr="5B69CCE1">
        <w:rPr>
          <w:rFonts w:ascii="Times New Roman" w:hAnsi="Times New Roman" w:cs="Times New Roman"/>
        </w:rPr>
        <w:t xml:space="preserve">. </w:t>
      </w:r>
    </w:p>
    <w:p w:rsidR="00DB2470" w:rsidP="61FEF04A" w:rsidRDefault="5B69CCE1" w14:paraId="14B63FE6" w14:textId="1EB70C8A">
      <w:pPr>
        <w:spacing w:after="0" w:line="360" w:lineRule="auto"/>
        <w:jc w:val="both"/>
        <w:rPr>
          <w:rFonts w:ascii="Times New Roman" w:hAnsi="Times New Roman" w:cs="Times New Roman"/>
        </w:rPr>
      </w:pPr>
      <w:r w:rsidRPr="5B69CCE1">
        <w:rPr>
          <w:rFonts w:ascii="Times New Roman" w:hAnsi="Times New Roman" w:cs="Times New Roman"/>
        </w:rPr>
        <w:t xml:space="preserve">Alcune iniziative indirizzate alla promozione delle scritture migranti hanno raggiunto importanti riscontri, come ad esempio il Concorso letterario nazionale “Lingua Madre”, progetto permanente della Regione Piemonte e del Salone internazionale del Libro di Torino, dedicato a donne migranti o che scrivono di migrazione, giunto nel 2020 alla quindicesima edizione e, come si legge nella presentazione dell’antologia che raccoglie i racconti vincitori di quell’anno, non è più considerabile «un semplice concorso, ma viepiù [...] una realtà variegata e costituita da un florilegio di eventi, libri e progetti speciali, le cui ricadute culturali e sociali sul territorio sono tanto evidenti quanto preziose». E proprio le ricadute culturali e sociali hanno permesso al progetto “Words4link – Scritture migranti per l’integrazione” di accedere ad un finanziamento del </w:t>
      </w:r>
      <w:r w:rsidRPr="5B69CCE1">
        <w:rPr>
          <w:rFonts w:ascii="Times New Roman" w:hAnsi="Times New Roman" w:cs="Times New Roman"/>
          <w:i/>
          <w:iCs/>
        </w:rPr>
        <w:t>Fondo asilo migrazione e integrazione</w:t>
      </w:r>
      <w:r w:rsidRPr="5B69CCE1">
        <w:rPr>
          <w:rFonts w:ascii="Times New Roman" w:hAnsi="Times New Roman" w:cs="Times New Roman"/>
        </w:rPr>
        <w:t xml:space="preserve">, strumento finanziario istituito dall’Unione Europea con l’obiettivo di favorire l’integrazione dei migranti. “Words4link”, oltre a organizzare seminari, laboratori e workshop, sta lavorando a una nuova e aggiornata mappatura dell’universo letterario </w:t>
      </w:r>
      <w:r w:rsidRPr="5B69CCE1">
        <w:rPr>
          <w:rFonts w:ascii="Times New Roman" w:hAnsi="Times New Roman" w:cs="Times New Roman"/>
        </w:rPr>
        <w:lastRenderedPageBreak/>
        <w:t xml:space="preserve">migrante in Italia, con schede relative a scrittori e scrittrici, ma anche </w:t>
      </w:r>
      <w:r w:rsidR="00A159B9">
        <w:rPr>
          <w:rFonts w:ascii="Times New Roman" w:hAnsi="Times New Roman" w:cs="Times New Roman"/>
        </w:rPr>
        <w:t xml:space="preserve">a </w:t>
      </w:r>
      <w:r w:rsidRPr="5B69CCE1">
        <w:rPr>
          <w:rFonts w:ascii="Times New Roman" w:hAnsi="Times New Roman" w:cs="Times New Roman"/>
        </w:rPr>
        <w:t>case editrici, associazioni, iniziative di ricerca, librerie</w:t>
      </w:r>
      <w:r w:rsidR="00A159B9">
        <w:rPr>
          <w:rFonts w:ascii="Times New Roman" w:hAnsi="Times New Roman" w:cs="Times New Roman"/>
        </w:rPr>
        <w:t xml:space="preserve"> -</w:t>
      </w:r>
      <w:r w:rsidRPr="5B69CCE1">
        <w:rPr>
          <w:rFonts w:ascii="Times New Roman" w:hAnsi="Times New Roman" w:cs="Times New Roman"/>
        </w:rPr>
        <w:t xml:space="preserve"> tutto liberamente consultabile in rete.</w:t>
      </w:r>
    </w:p>
    <w:p w:rsidR="00B1177F" w:rsidP="61FEF04A" w:rsidRDefault="5B69CCE1" w14:paraId="2870F764" w14:textId="15F537A6">
      <w:pPr>
        <w:spacing w:after="0" w:line="360" w:lineRule="auto"/>
        <w:jc w:val="both"/>
        <w:rPr>
          <w:rFonts w:ascii="Times New Roman" w:hAnsi="Times New Roman" w:cs="Times New Roman"/>
        </w:rPr>
      </w:pPr>
      <w:r w:rsidRPr="5B69CCE1">
        <w:rPr>
          <w:rFonts w:ascii="Times New Roman" w:hAnsi="Times New Roman" w:cs="Times New Roman"/>
        </w:rPr>
        <w:t xml:space="preserve">Negli ultimi anni, poi, si è assistito ad una crescente attenzione da parte di accademie e istituti culturali. La Società Dante Alighieri, in collaborazione con il Centro di ricerca sulle Lingue d’adozione dell’Università degli Studi di Milano, ha realizzato il progetto </w:t>
      </w:r>
      <w:r w:rsidRPr="5B69CCE1">
        <w:rPr>
          <w:rFonts w:ascii="Times New Roman" w:hAnsi="Times New Roman" w:cs="Times New Roman"/>
          <w:i/>
          <w:iCs/>
        </w:rPr>
        <w:t>Abitare, vivere, scrivere l’italiano. Scrittori e scrittrici di madrelingua straniera si raccontano</w:t>
      </w:r>
      <w:r w:rsidRPr="5B69CCE1">
        <w:rPr>
          <w:rFonts w:ascii="Times New Roman" w:hAnsi="Times New Roman" w:cs="Times New Roman"/>
        </w:rPr>
        <w:t xml:space="preserve">, che consiste in 14 video-interviste pubblicate sulla pagina </w:t>
      </w:r>
      <w:r w:rsidRPr="5B69CCE1">
        <w:rPr>
          <w:rFonts w:ascii="Times New Roman" w:hAnsi="Times New Roman" w:cs="Times New Roman"/>
          <w:i/>
          <w:iCs/>
        </w:rPr>
        <w:t>Confronti</w:t>
      </w:r>
      <w:r w:rsidRPr="5B69CCE1">
        <w:rPr>
          <w:rFonts w:ascii="Times New Roman" w:hAnsi="Times New Roman" w:cs="Times New Roman"/>
        </w:rPr>
        <w:t xml:space="preserve"> del sito della Dante, tra il maggio e il luglio 2020. Lucilla Pizzoli, ideatrice del progetto insieme a Gabriella Cartago, ne ha illustrato caratteristiche e obiettivi in un articolo scritto per la serie </w:t>
      </w:r>
      <w:r w:rsidRPr="5B69CCE1">
        <w:rPr>
          <w:rFonts w:ascii="Times New Roman" w:hAnsi="Times New Roman" w:cs="Times New Roman"/>
          <w:i/>
          <w:iCs/>
        </w:rPr>
        <w:t>Parole, storie e suoni nell’italiano senza frontiere</w:t>
      </w:r>
      <w:r w:rsidRPr="5B69CCE1">
        <w:rPr>
          <w:rFonts w:ascii="Times New Roman" w:hAnsi="Times New Roman" w:cs="Times New Roman"/>
        </w:rPr>
        <w:t xml:space="preserve">, costituita da 10 contributi pubblicati sul magazine online «Lingua italiana» del portale Treccani, </w:t>
      </w:r>
      <w:r w:rsidR="00A159B9">
        <w:rPr>
          <w:rFonts w:ascii="Times New Roman" w:hAnsi="Times New Roman" w:cs="Times New Roman"/>
        </w:rPr>
        <w:t xml:space="preserve">[una serie] </w:t>
      </w:r>
      <w:r w:rsidRPr="5B69CCE1">
        <w:rPr>
          <w:rFonts w:ascii="Times New Roman" w:hAnsi="Times New Roman" w:cs="Times New Roman"/>
        </w:rPr>
        <w:t xml:space="preserve">diretta dalla stessa Cartago e volta ad indagare gli «aspetti linguistici della produzione letteraria e per musica degli autori italofoni multietnici». Al tema si sta interessando anche l’Accademia della Crusca, che ha aggiunto, tra i </w:t>
      </w:r>
      <w:r w:rsidRPr="5B69CCE1">
        <w:rPr>
          <w:rFonts w:ascii="Times New Roman" w:hAnsi="Times New Roman" w:cs="Times New Roman"/>
          <w:i/>
          <w:iCs/>
        </w:rPr>
        <w:t>Collegamenti utili</w:t>
      </w:r>
      <w:r w:rsidRPr="5B69CCE1">
        <w:rPr>
          <w:rFonts w:ascii="Times New Roman" w:hAnsi="Times New Roman" w:cs="Times New Roman"/>
        </w:rPr>
        <w:t xml:space="preserve"> del suo sito, il </w:t>
      </w:r>
      <w:r w:rsidRPr="5B69CCE1">
        <w:rPr>
          <w:rFonts w:ascii="Times New Roman" w:hAnsi="Times New Roman" w:cs="Times New Roman"/>
          <w:i/>
          <w:iCs/>
        </w:rPr>
        <w:t>link</w:t>
      </w:r>
      <w:r w:rsidRPr="5B69CCE1">
        <w:rPr>
          <w:rFonts w:ascii="Times New Roman" w:hAnsi="Times New Roman" w:cs="Times New Roman"/>
        </w:rPr>
        <w:t xml:space="preserve"> a BASILI&amp;LIMM, la principale banca dati sulla letteratura italiana della migrazione. Ma l’intenzione, al momento ancora in via di sviluppo, è di creare un “nuovo” BASILI&amp;LIMM, facendone confluire i dati in un sito curato dalla stessa Accademia della Crusca. I coordinatori di questo progetto, cui collaboro in qualità di redattore, sono, per la redazione italiana, Marco Biffi e Gabriella Cartago, per quella internazionale, Maria Cristina Mauceri.</w:t>
      </w:r>
    </w:p>
    <w:p w:rsidR="61FEF04A" w:rsidP="61FEF04A" w:rsidRDefault="61FEF04A" w14:paraId="61A76D81" w14:textId="1DB873B1">
      <w:pPr>
        <w:spacing w:after="0" w:line="360" w:lineRule="auto"/>
        <w:jc w:val="both"/>
        <w:rPr>
          <w:rFonts w:ascii="Times New Roman" w:hAnsi="Times New Roman" w:cs="Times New Roman"/>
        </w:rPr>
      </w:pPr>
    </w:p>
    <w:p w:rsidR="003C0726" w:rsidP="002662B0" w:rsidRDefault="00E31547" w14:paraId="7E07C9D6" w14:textId="7B5194D9">
      <w:pPr>
        <w:spacing w:after="0" w:line="360" w:lineRule="auto"/>
        <w:jc w:val="both"/>
        <w:rPr>
          <w:rFonts w:ascii="Times New Roman" w:hAnsi="Times New Roman" w:cs="Times New Roman"/>
        </w:rPr>
      </w:pPr>
      <w:r>
        <w:rPr>
          <w:rFonts w:ascii="Times New Roman" w:hAnsi="Times New Roman" w:cs="Times New Roman"/>
        </w:rPr>
        <w:t>Nell’ambito della ricerca scientifica, l’</w:t>
      </w:r>
      <w:r w:rsidRPr="5B69CCE1" w:rsidR="5B69CCE1">
        <w:rPr>
          <w:rFonts w:ascii="Times New Roman" w:hAnsi="Times New Roman" w:cs="Times New Roman"/>
        </w:rPr>
        <w:t xml:space="preserve">apporto di linguisti e storici della lingua allo studio dell’italiano dei migranti si è </w:t>
      </w:r>
      <w:r w:rsidRPr="00E31547" w:rsidR="5B69CCE1">
        <w:rPr>
          <w:rFonts w:ascii="Times New Roman" w:hAnsi="Times New Roman" w:cs="Times New Roman"/>
          <w:u w:val="single"/>
        </w:rPr>
        <w:t>ampliato</w:t>
      </w:r>
      <w:r w:rsidRPr="5B69CCE1" w:rsidR="5B69CCE1">
        <w:rPr>
          <w:rFonts w:ascii="Times New Roman" w:hAnsi="Times New Roman" w:cs="Times New Roman"/>
        </w:rPr>
        <w:t xml:space="preserve"> in più direzioni. Da un lato, in merito all’uso quotidiano della lingua, si fanno più accurate le descrizioni del contatto tra italiano e lingue dei migranti e più numerosi i dati sulla presenza di queste nello spazio linguistico dell’Italia contemporanea, mentre si infittiscono gli studi sulle diverse fasi dell’apprendimento dell’italiano da parte di stranieri. Dall’altro, riguardo all’uso espressivo della nuova lingua, sono state individuate le peculiarità dell’italiano degli scrittori migranti, che si rilevano principalmente nella loro creatività neologica, nella proposizione di metafore e similitudini inedite e, soprattutto, nell’inserzione di un cospicuo numero di parole e frasi della loro lingua madre, molte delle quali senza attestazioni precedenti in italiano. L’argomento è ormai approdato nelle trattazioni di carattere generale riguardanti la storia e le strutture dell’italiano. Segnalo almeno il volume </w:t>
      </w:r>
      <w:r w:rsidRPr="5B69CCE1" w:rsidR="5B69CCE1">
        <w:rPr>
          <w:rFonts w:ascii="Times New Roman" w:hAnsi="Times New Roman" w:cs="Times New Roman"/>
          <w:i/>
          <w:iCs/>
        </w:rPr>
        <w:t>Linguistica italiana</w:t>
      </w:r>
      <w:r w:rsidRPr="5B69CCE1" w:rsidR="5B69CCE1">
        <w:rPr>
          <w:rFonts w:ascii="Times New Roman" w:hAnsi="Times New Roman" w:cs="Times New Roman"/>
        </w:rPr>
        <w:t xml:space="preserve"> di Massimo Palermo, che riserva un paragrafo a </w:t>
      </w:r>
      <w:r w:rsidRPr="5B69CCE1" w:rsidR="5B69CCE1">
        <w:rPr>
          <w:rFonts w:ascii="Times New Roman" w:hAnsi="Times New Roman" w:cs="Times New Roman"/>
          <w:i/>
          <w:iCs/>
        </w:rPr>
        <w:t>L’italiano dei nuovi italiani: l’uso espressivo della lingua</w:t>
      </w:r>
      <w:r w:rsidRPr="5B69CCE1" w:rsidR="5B69CCE1">
        <w:rPr>
          <w:rFonts w:ascii="Times New Roman" w:hAnsi="Times New Roman" w:cs="Times New Roman"/>
        </w:rPr>
        <w:t xml:space="preserve"> (Palermo 2015: 340-345), quello di Sergio Lubello e Claudio Nobili, </w:t>
      </w:r>
      <w:r w:rsidRPr="5B69CCE1" w:rsidR="5B69CCE1">
        <w:rPr>
          <w:rFonts w:ascii="Times New Roman" w:hAnsi="Times New Roman" w:cs="Times New Roman"/>
          <w:i/>
          <w:iCs/>
        </w:rPr>
        <w:t>L’italiano e le sue varietà</w:t>
      </w:r>
      <w:r w:rsidRPr="5B69CCE1" w:rsidR="5B69CCE1">
        <w:rPr>
          <w:rFonts w:ascii="Times New Roman" w:hAnsi="Times New Roman" w:cs="Times New Roman"/>
        </w:rPr>
        <w:t xml:space="preserve">, che si sofferma sugli «usi letterari dell’italiano da parte di scrittori stranieri immigrati in Italia» (Lubello, Nobili 2018: 19), mentre </w:t>
      </w:r>
      <w:r w:rsidRPr="5B69CCE1" w:rsidR="5B69CCE1">
        <w:rPr>
          <w:rFonts w:ascii="Times New Roman" w:hAnsi="Times New Roman" w:cs="Times New Roman"/>
          <w:i/>
          <w:iCs/>
        </w:rPr>
        <w:t>L’italiano: strutture, usi, varietà</w:t>
      </w:r>
      <w:r w:rsidRPr="5B69CCE1" w:rsidR="5B69CCE1">
        <w:rPr>
          <w:rFonts w:ascii="Times New Roman" w:hAnsi="Times New Roman" w:cs="Times New Roman"/>
        </w:rPr>
        <w:t xml:space="preserve">, curato da Rita </w:t>
      </w:r>
      <w:r w:rsidRPr="5B69CCE1" w:rsidR="5B69CCE1">
        <w:rPr>
          <w:rFonts w:ascii="Times New Roman" w:hAnsi="Times New Roman" w:cs="Times New Roman"/>
        </w:rPr>
        <w:lastRenderedPageBreak/>
        <w:t>Librandi, presenta una precisa caratterizzazione ed esemplificazione delle peculiarità linguistiche degli scrittori migranti (Librandi 2019: 280-284).</w:t>
      </w:r>
    </w:p>
    <w:p w:rsidR="0031430D" w:rsidP="002662B0" w:rsidRDefault="0031430D" w14:paraId="676CF26F" w14:textId="77777777">
      <w:pPr>
        <w:spacing w:after="0" w:line="360" w:lineRule="auto"/>
        <w:jc w:val="both"/>
        <w:rPr>
          <w:rFonts w:ascii="Times New Roman" w:hAnsi="Times New Roman" w:cs="Times New Roman"/>
        </w:rPr>
      </w:pPr>
    </w:p>
    <w:p w:rsidR="00477FC8" w:rsidP="002662B0" w:rsidRDefault="5B69CCE1" w14:paraId="57D9183E" w14:textId="33C5258D">
      <w:pPr>
        <w:spacing w:after="0" w:line="360" w:lineRule="auto"/>
        <w:jc w:val="both"/>
        <w:rPr>
          <w:rFonts w:ascii="Times New Roman" w:hAnsi="Times New Roman" w:cs="Times New Roman"/>
        </w:rPr>
      </w:pPr>
      <w:r w:rsidRPr="5B69CCE1">
        <w:rPr>
          <w:rFonts w:ascii="Times New Roman" w:hAnsi="Times New Roman" w:cs="Times New Roman"/>
        </w:rPr>
        <w:t xml:space="preserve">La mia tesi dottorale si inserisce in questo contesto di studi, progetti e iniziative, concentrandosi sul tipo di italiano degli scrittori migranti e soprattutto sulla nozione di migratismo, termine proposto a partire dal 2015 da Laura Ricci ed accolto dal Vocabolario online Treccani con la seguente definizione: «In linguistica, forestierismo che arriva in italiano dalle lingue dei Paesi di recente immigrazione e che si riferisce in particolare a usi, cibi, pietanze, oggetti caratteristici delle terre d’origine». Quella degli scrittori migranti è una prosa sensibile al fenomeno del contatto e dell’interferenza tra lingue dei migranti e italiano, e si configura perciò quale punto d’osservazione privilegiato per lo studio di questo potenziale rinnovamento lessicale esogeno. Ho dunque costituito un </w:t>
      </w:r>
      <w:r w:rsidRPr="5B69CCE1">
        <w:rPr>
          <w:rFonts w:ascii="Times New Roman" w:hAnsi="Times New Roman" w:cs="Times New Roman"/>
          <w:i/>
          <w:iCs/>
        </w:rPr>
        <w:t xml:space="preserve">corpus </w:t>
      </w:r>
      <w:r w:rsidRPr="5B69CCE1">
        <w:rPr>
          <w:rFonts w:ascii="Times New Roman" w:hAnsi="Times New Roman" w:cs="Times New Roman"/>
        </w:rPr>
        <w:t>formato da oltre 150 opere scritte da 91 autrici e autori provenienti da 34 stati diversi</w:t>
      </w:r>
      <w:r w:rsidR="00E31547">
        <w:rPr>
          <w:rFonts w:ascii="Times New Roman" w:hAnsi="Times New Roman" w:cs="Times New Roman"/>
        </w:rPr>
        <w:t>, in cui</w:t>
      </w:r>
      <w:r w:rsidRPr="5B69CCE1">
        <w:rPr>
          <w:rFonts w:ascii="Times New Roman" w:hAnsi="Times New Roman" w:cs="Times New Roman"/>
        </w:rPr>
        <w:t xml:space="preserve"> ho rintracciato i migratismi presenti. L’analisi ha</w:t>
      </w:r>
      <w:r w:rsidR="00E31547">
        <w:rPr>
          <w:rFonts w:ascii="Times New Roman" w:hAnsi="Times New Roman" w:cs="Times New Roman"/>
        </w:rPr>
        <w:t xml:space="preserve"> poi</w:t>
      </w:r>
      <w:r w:rsidRPr="5B69CCE1">
        <w:rPr>
          <w:rFonts w:ascii="Times New Roman" w:hAnsi="Times New Roman" w:cs="Times New Roman"/>
        </w:rPr>
        <w:t xml:space="preserve"> riguardato la loro fenomenologia, le lingue di provenienza, i campi semantici maggiormente coinvolti, la classe grammaticale assunta in italiano, gli strumenti lessicografici e informatici che consentono di valutarne l’attecchimento in lingua italiana. Il risultato è un glossario di oltre 500 migratismi, che per ogni voce propone una definizione e raduna e mette a confronto le occorrenze del </w:t>
      </w:r>
      <w:r w:rsidRPr="5B69CCE1">
        <w:rPr>
          <w:rFonts w:ascii="Times New Roman" w:hAnsi="Times New Roman" w:cs="Times New Roman"/>
          <w:i/>
          <w:iCs/>
        </w:rPr>
        <w:t>corpus</w:t>
      </w:r>
      <w:r w:rsidRPr="5B69CCE1">
        <w:rPr>
          <w:rFonts w:ascii="Times New Roman" w:hAnsi="Times New Roman" w:cs="Times New Roman"/>
        </w:rPr>
        <w:t xml:space="preserve"> con quelle riscontrate negli archivi di riferimento, con speciale riguardo per le attestazioni provenienti dalla stampa.</w:t>
      </w:r>
    </w:p>
    <w:p w:rsidR="00680817" w:rsidP="002662B0" w:rsidRDefault="5B69CCE1" w14:paraId="243E3FE9" w14:textId="6785A065">
      <w:pPr>
        <w:spacing w:after="0" w:line="360" w:lineRule="auto"/>
        <w:jc w:val="both"/>
        <w:rPr>
          <w:rFonts w:ascii="Times New Roman" w:hAnsi="Times New Roman" w:cs="Times New Roman"/>
        </w:rPr>
      </w:pPr>
      <w:r w:rsidRPr="5B69CCE1">
        <w:rPr>
          <w:rFonts w:ascii="Times New Roman" w:hAnsi="Times New Roman" w:cs="Times New Roman"/>
        </w:rPr>
        <w:t xml:space="preserve">La ricerca, guardando ad un evento ancora in divenire e, per molti aspetti, ancora di là da venire, non può dirsi definitiva. Tanto resta da comprendere sulla possibilità che queste </w:t>
      </w:r>
      <w:r w:rsidRPr="5B69CCE1">
        <w:rPr>
          <w:rFonts w:ascii="Times New Roman" w:hAnsi="Times New Roman" w:cs="Times New Roman"/>
          <w:i/>
          <w:iCs/>
        </w:rPr>
        <w:t>parole migranti</w:t>
      </w:r>
      <w:r w:rsidRPr="5B69CCE1">
        <w:rPr>
          <w:rFonts w:ascii="Times New Roman" w:hAnsi="Times New Roman" w:cs="Times New Roman"/>
        </w:rPr>
        <w:t xml:space="preserve"> attecchiscano e diventino a tutti gli effetti prestiti dell’italiano; tanto resta da scoprire sui modi, sui mezzi e sulle motivazioni della loro fortuna. Si è cercato intanto di mettere alcuni primi punti fermi in un campo di studi ancora quasi inesplorato, tramite la costituzione di un </w:t>
      </w:r>
      <w:r w:rsidRPr="5B69CCE1">
        <w:rPr>
          <w:rFonts w:ascii="Times New Roman" w:hAnsi="Times New Roman" w:cs="Times New Roman"/>
          <w:i/>
          <w:iCs/>
        </w:rPr>
        <w:t>corpus ad hoc</w:t>
      </w:r>
      <w:r w:rsidRPr="5B69CCE1">
        <w:rPr>
          <w:rFonts w:ascii="Times New Roman" w:hAnsi="Times New Roman" w:cs="Times New Roman"/>
        </w:rPr>
        <w:t xml:space="preserve"> che potesse essere sufficientemente indicativo del fenomeno e dare così un contributo scientifico all’indagine di un aspetto del lessico dell’italiano di oggi e di domani. </w:t>
      </w:r>
      <w:bookmarkEnd w:id="0"/>
    </w:p>
    <w:p w:rsidR="007D6C80" w:rsidP="002662B0" w:rsidRDefault="007D6C80" w14:paraId="37E51B15" w14:textId="6F5C77B6">
      <w:pPr>
        <w:spacing w:after="0" w:line="360" w:lineRule="auto"/>
        <w:jc w:val="both"/>
        <w:rPr>
          <w:rFonts w:ascii="Times New Roman" w:hAnsi="Times New Roman" w:cs="Times New Roman"/>
        </w:rPr>
      </w:pPr>
    </w:p>
    <w:p w:rsidRPr="002662B0" w:rsidR="007D6C80" w:rsidP="002662B0" w:rsidRDefault="5B69CCE1" w14:paraId="49696466" w14:textId="06CD4BB6">
      <w:pPr>
        <w:spacing w:after="0" w:line="360" w:lineRule="auto"/>
        <w:jc w:val="both"/>
        <w:rPr>
          <w:rFonts w:ascii="Times New Roman" w:hAnsi="Times New Roman" w:cs="Times New Roman"/>
        </w:rPr>
      </w:pPr>
      <w:r w:rsidRPr="5B69CCE1">
        <w:rPr>
          <w:rFonts w:ascii="Times New Roman" w:hAnsi="Times New Roman" w:cs="Times New Roman"/>
        </w:rPr>
        <w:t xml:space="preserve">Ringrazio l’Associazione per la Storia della Lingua Italiana per averci dato questa preziosa opportunità di confronto e l’Accademia della Crusca per averci ospitato nella sua prestigiosa sede. Ringrazio la mia Maestra, Gabriella Cartago, per i tanti insegnamenti, e il mio tutor, Giuseppe Sergio, per la fiducia e il sostegno. </w:t>
      </w:r>
    </w:p>
    <w:sectPr w:rsidRPr="002662B0" w:rsidR="007D6C80" w:rsidSect="002662B0">
      <w:pgSz w:w="11906" w:h="16838" w:orient="portrait"/>
      <w:pgMar w:top="1701" w:right="1701" w:bottom="1701"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731725" w:rsidP="007B7621" w:rsidRDefault="00731725" w14:paraId="71A40495" w14:textId="77777777">
      <w:pPr>
        <w:spacing w:after="0" w:line="240" w:lineRule="auto"/>
      </w:pPr>
      <w:r>
        <w:separator/>
      </w:r>
    </w:p>
  </w:endnote>
  <w:endnote w:type="continuationSeparator" w:id="0">
    <w:p w:rsidR="00731725" w:rsidP="007B7621" w:rsidRDefault="00731725" w14:paraId="7F92D41C"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731725" w:rsidP="007B7621" w:rsidRDefault="00731725" w14:paraId="13E1DC22" w14:textId="77777777">
      <w:pPr>
        <w:spacing w:after="0" w:line="240" w:lineRule="auto"/>
      </w:pPr>
      <w:r>
        <w:separator/>
      </w:r>
    </w:p>
  </w:footnote>
  <w:footnote w:type="continuationSeparator" w:id="0">
    <w:p w:rsidR="00731725" w:rsidP="007B7621" w:rsidRDefault="00731725" w14:paraId="1584064F" w14:textId="77777777">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trackRevisions w:val="false"/>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30E7"/>
    <w:rsid w:val="000030EE"/>
    <w:rsid w:val="00004920"/>
    <w:rsid w:val="0001212C"/>
    <w:rsid w:val="00026C3D"/>
    <w:rsid w:val="00032843"/>
    <w:rsid w:val="00036793"/>
    <w:rsid w:val="0005271C"/>
    <w:rsid w:val="000547D2"/>
    <w:rsid w:val="00055DFD"/>
    <w:rsid w:val="00063385"/>
    <w:rsid w:val="00066737"/>
    <w:rsid w:val="000673FB"/>
    <w:rsid w:val="0007118F"/>
    <w:rsid w:val="000757DD"/>
    <w:rsid w:val="000B020D"/>
    <w:rsid w:val="000B43FA"/>
    <w:rsid w:val="000C3C03"/>
    <w:rsid w:val="000D4CA2"/>
    <w:rsid w:val="000D6772"/>
    <w:rsid w:val="000E5AB0"/>
    <w:rsid w:val="000F1E63"/>
    <w:rsid w:val="000F2AB9"/>
    <w:rsid w:val="000F60D6"/>
    <w:rsid w:val="000F694A"/>
    <w:rsid w:val="001261B3"/>
    <w:rsid w:val="00135980"/>
    <w:rsid w:val="00151E86"/>
    <w:rsid w:val="00156CD7"/>
    <w:rsid w:val="00156FD3"/>
    <w:rsid w:val="00177B24"/>
    <w:rsid w:val="001A0C42"/>
    <w:rsid w:val="001A3E2A"/>
    <w:rsid w:val="001C211A"/>
    <w:rsid w:val="001C5C65"/>
    <w:rsid w:val="001C6F21"/>
    <w:rsid w:val="001C73C0"/>
    <w:rsid w:val="001E3D86"/>
    <w:rsid w:val="002527DC"/>
    <w:rsid w:val="00262D7A"/>
    <w:rsid w:val="00264D7F"/>
    <w:rsid w:val="002662B0"/>
    <w:rsid w:val="00271297"/>
    <w:rsid w:val="002750D8"/>
    <w:rsid w:val="00286D0A"/>
    <w:rsid w:val="00290B60"/>
    <w:rsid w:val="002A7429"/>
    <w:rsid w:val="002B64F3"/>
    <w:rsid w:val="002D5E4C"/>
    <w:rsid w:val="002F027B"/>
    <w:rsid w:val="0031430D"/>
    <w:rsid w:val="003346F1"/>
    <w:rsid w:val="00336C08"/>
    <w:rsid w:val="0036195F"/>
    <w:rsid w:val="00372D38"/>
    <w:rsid w:val="00376A2A"/>
    <w:rsid w:val="00376B16"/>
    <w:rsid w:val="003A16AB"/>
    <w:rsid w:val="003C0726"/>
    <w:rsid w:val="003C59AE"/>
    <w:rsid w:val="003E2A23"/>
    <w:rsid w:val="00404822"/>
    <w:rsid w:val="00405560"/>
    <w:rsid w:val="00413939"/>
    <w:rsid w:val="00472B6B"/>
    <w:rsid w:val="004736AD"/>
    <w:rsid w:val="0047682F"/>
    <w:rsid w:val="00477FC8"/>
    <w:rsid w:val="004B2302"/>
    <w:rsid w:val="004B62CA"/>
    <w:rsid w:val="004B66E1"/>
    <w:rsid w:val="004C3BE5"/>
    <w:rsid w:val="004D6DF3"/>
    <w:rsid w:val="004E69D1"/>
    <w:rsid w:val="004E7831"/>
    <w:rsid w:val="004E792B"/>
    <w:rsid w:val="004F0D91"/>
    <w:rsid w:val="004F6028"/>
    <w:rsid w:val="005111EC"/>
    <w:rsid w:val="00512C04"/>
    <w:rsid w:val="00525058"/>
    <w:rsid w:val="005452C7"/>
    <w:rsid w:val="00583CD8"/>
    <w:rsid w:val="0059303B"/>
    <w:rsid w:val="00596BD0"/>
    <w:rsid w:val="005A0DA8"/>
    <w:rsid w:val="005A6F4B"/>
    <w:rsid w:val="005C1F9A"/>
    <w:rsid w:val="005D00E4"/>
    <w:rsid w:val="0060005A"/>
    <w:rsid w:val="00603717"/>
    <w:rsid w:val="00606FF5"/>
    <w:rsid w:val="006133D8"/>
    <w:rsid w:val="0061410D"/>
    <w:rsid w:val="0063124E"/>
    <w:rsid w:val="0063171A"/>
    <w:rsid w:val="00646753"/>
    <w:rsid w:val="00650894"/>
    <w:rsid w:val="006609B4"/>
    <w:rsid w:val="0066511E"/>
    <w:rsid w:val="00680817"/>
    <w:rsid w:val="006855DE"/>
    <w:rsid w:val="00687489"/>
    <w:rsid w:val="006A5E61"/>
    <w:rsid w:val="006A66C7"/>
    <w:rsid w:val="006B101B"/>
    <w:rsid w:val="006B3024"/>
    <w:rsid w:val="006C1896"/>
    <w:rsid w:val="006C3347"/>
    <w:rsid w:val="006C49E6"/>
    <w:rsid w:val="006F30E7"/>
    <w:rsid w:val="006F4E1F"/>
    <w:rsid w:val="007003D1"/>
    <w:rsid w:val="00707AEA"/>
    <w:rsid w:val="00730443"/>
    <w:rsid w:val="00730C6D"/>
    <w:rsid w:val="00731725"/>
    <w:rsid w:val="00734DEC"/>
    <w:rsid w:val="00734FBF"/>
    <w:rsid w:val="0074596B"/>
    <w:rsid w:val="00754924"/>
    <w:rsid w:val="007555DD"/>
    <w:rsid w:val="00757E95"/>
    <w:rsid w:val="00781861"/>
    <w:rsid w:val="0078717A"/>
    <w:rsid w:val="00797289"/>
    <w:rsid w:val="007A2717"/>
    <w:rsid w:val="007B0418"/>
    <w:rsid w:val="007B7621"/>
    <w:rsid w:val="007D6C80"/>
    <w:rsid w:val="0080393E"/>
    <w:rsid w:val="00815629"/>
    <w:rsid w:val="0085535A"/>
    <w:rsid w:val="00864582"/>
    <w:rsid w:val="008956CF"/>
    <w:rsid w:val="008A1C91"/>
    <w:rsid w:val="008B3191"/>
    <w:rsid w:val="008B3E9E"/>
    <w:rsid w:val="008B5817"/>
    <w:rsid w:val="008B7B0E"/>
    <w:rsid w:val="008C0ED4"/>
    <w:rsid w:val="008C49A0"/>
    <w:rsid w:val="008C5E99"/>
    <w:rsid w:val="008D4A39"/>
    <w:rsid w:val="008E3837"/>
    <w:rsid w:val="008F30BD"/>
    <w:rsid w:val="00904140"/>
    <w:rsid w:val="00905A93"/>
    <w:rsid w:val="0093089B"/>
    <w:rsid w:val="00930DBD"/>
    <w:rsid w:val="0097740B"/>
    <w:rsid w:val="0098621D"/>
    <w:rsid w:val="009878BC"/>
    <w:rsid w:val="009B14DA"/>
    <w:rsid w:val="009D034C"/>
    <w:rsid w:val="009D0E51"/>
    <w:rsid w:val="009D1830"/>
    <w:rsid w:val="009E3C65"/>
    <w:rsid w:val="00A159B9"/>
    <w:rsid w:val="00A23C01"/>
    <w:rsid w:val="00A25ACE"/>
    <w:rsid w:val="00A30021"/>
    <w:rsid w:val="00A51417"/>
    <w:rsid w:val="00A537F8"/>
    <w:rsid w:val="00A62318"/>
    <w:rsid w:val="00A92354"/>
    <w:rsid w:val="00AA0787"/>
    <w:rsid w:val="00AB405A"/>
    <w:rsid w:val="00AC6BD2"/>
    <w:rsid w:val="00AC794A"/>
    <w:rsid w:val="00AD2F48"/>
    <w:rsid w:val="00AF3107"/>
    <w:rsid w:val="00B04B11"/>
    <w:rsid w:val="00B051A1"/>
    <w:rsid w:val="00B1177F"/>
    <w:rsid w:val="00B2048C"/>
    <w:rsid w:val="00B5002C"/>
    <w:rsid w:val="00B82528"/>
    <w:rsid w:val="00B83D91"/>
    <w:rsid w:val="00B9560D"/>
    <w:rsid w:val="00BA0F29"/>
    <w:rsid w:val="00BB20EE"/>
    <w:rsid w:val="00BC5AA6"/>
    <w:rsid w:val="00BD6DF4"/>
    <w:rsid w:val="00BD6E62"/>
    <w:rsid w:val="00BE63E7"/>
    <w:rsid w:val="00C20CBA"/>
    <w:rsid w:val="00C321E7"/>
    <w:rsid w:val="00C32334"/>
    <w:rsid w:val="00C33F76"/>
    <w:rsid w:val="00C34A8A"/>
    <w:rsid w:val="00C45C57"/>
    <w:rsid w:val="00C45F57"/>
    <w:rsid w:val="00C5555D"/>
    <w:rsid w:val="00CC5FA4"/>
    <w:rsid w:val="00CD052C"/>
    <w:rsid w:val="00CD3A52"/>
    <w:rsid w:val="00CE39C9"/>
    <w:rsid w:val="00CE5547"/>
    <w:rsid w:val="00CE5CAE"/>
    <w:rsid w:val="00D04949"/>
    <w:rsid w:val="00D14152"/>
    <w:rsid w:val="00D25708"/>
    <w:rsid w:val="00D26859"/>
    <w:rsid w:val="00D33614"/>
    <w:rsid w:val="00D420CE"/>
    <w:rsid w:val="00D51D51"/>
    <w:rsid w:val="00D6589C"/>
    <w:rsid w:val="00D7135A"/>
    <w:rsid w:val="00D772C6"/>
    <w:rsid w:val="00D8750A"/>
    <w:rsid w:val="00DB2470"/>
    <w:rsid w:val="00DE3E7E"/>
    <w:rsid w:val="00E11F6F"/>
    <w:rsid w:val="00E12FC8"/>
    <w:rsid w:val="00E22032"/>
    <w:rsid w:val="00E2243F"/>
    <w:rsid w:val="00E31547"/>
    <w:rsid w:val="00E323DF"/>
    <w:rsid w:val="00E36E63"/>
    <w:rsid w:val="00E53B3E"/>
    <w:rsid w:val="00E73264"/>
    <w:rsid w:val="00E81ED4"/>
    <w:rsid w:val="00E92766"/>
    <w:rsid w:val="00EA257D"/>
    <w:rsid w:val="00EA2F4D"/>
    <w:rsid w:val="00EA4C32"/>
    <w:rsid w:val="00EB533C"/>
    <w:rsid w:val="00EE1BC6"/>
    <w:rsid w:val="00EF39EF"/>
    <w:rsid w:val="00F34077"/>
    <w:rsid w:val="00F351F8"/>
    <w:rsid w:val="00F75358"/>
    <w:rsid w:val="00FA3F0E"/>
    <w:rsid w:val="00FB638F"/>
    <w:rsid w:val="0823AD1D"/>
    <w:rsid w:val="0AA3FB5E"/>
    <w:rsid w:val="455A02EA"/>
    <w:rsid w:val="5B69CCE1"/>
    <w:rsid w:val="61FEF04A"/>
    <w:rsid w:val="6F762AB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CCF514"/>
  <w15:chartTrackingRefBased/>
  <w15:docId w15:val="{E22E4C4F-1872-4A4F-B54D-562EC05FAA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hAnsiTheme="minorHAnsi" w:eastAsia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e" w:default="1">
    <w:name w:val="Normal"/>
    <w:qFormat/>
  </w:style>
  <w:style w:type="character" w:styleId="Carpredefinitoparagrafo" w:default="1">
    <w:name w:val="Default Paragraph Font"/>
    <w:uiPriority w:val="1"/>
    <w:semiHidden/>
    <w:unhideWhenUsed/>
  </w:style>
  <w:style w:type="table" w:styleId="Tabellanormale" w:default="1">
    <w:name w:val="Normal Table"/>
    <w:uiPriority w:val="99"/>
    <w:semiHidden/>
    <w:unhideWhenUsed/>
    <w:tblPr>
      <w:tblInd w:w="0" w:type="dxa"/>
      <w:tblCellMar>
        <w:top w:w="0" w:type="dxa"/>
        <w:left w:w="108" w:type="dxa"/>
        <w:bottom w:w="0" w:type="dxa"/>
        <w:right w:w="108" w:type="dxa"/>
      </w:tblCellMar>
    </w:tblPr>
  </w:style>
  <w:style w:type="numbering" w:styleId="Nessunelenco" w:default="1">
    <w:name w:val="No List"/>
    <w:uiPriority w:val="99"/>
    <w:semiHidden/>
    <w:unhideWhenUsed/>
  </w:style>
  <w:style w:type="character" w:styleId="normaltextrun" w:customStyle="1">
    <w:name w:val="normaltextrun"/>
    <w:basedOn w:val="Carpredefinitoparagrafo"/>
    <w:rsid w:val="005C1F9A"/>
  </w:style>
  <w:style w:type="paragraph" w:styleId="Intestazione">
    <w:name w:val="header"/>
    <w:basedOn w:val="Normale"/>
    <w:link w:val="IntestazioneCarattere"/>
    <w:uiPriority w:val="99"/>
    <w:unhideWhenUsed/>
    <w:rsid w:val="007B7621"/>
    <w:pPr>
      <w:tabs>
        <w:tab w:val="center" w:pos="4819"/>
        <w:tab w:val="right" w:pos="9638"/>
      </w:tabs>
      <w:spacing w:after="0" w:line="240" w:lineRule="auto"/>
    </w:pPr>
  </w:style>
  <w:style w:type="character" w:styleId="IntestazioneCarattere" w:customStyle="1">
    <w:name w:val="Intestazione Carattere"/>
    <w:basedOn w:val="Carpredefinitoparagrafo"/>
    <w:link w:val="Intestazione"/>
    <w:uiPriority w:val="99"/>
    <w:rsid w:val="007B7621"/>
  </w:style>
  <w:style w:type="paragraph" w:styleId="Pidipagina">
    <w:name w:val="footer"/>
    <w:basedOn w:val="Normale"/>
    <w:link w:val="PidipaginaCarattere"/>
    <w:uiPriority w:val="99"/>
    <w:unhideWhenUsed/>
    <w:rsid w:val="007B7621"/>
    <w:pPr>
      <w:tabs>
        <w:tab w:val="center" w:pos="4819"/>
        <w:tab w:val="right" w:pos="9638"/>
      </w:tabs>
      <w:spacing w:after="0" w:line="240" w:lineRule="auto"/>
    </w:pPr>
  </w:style>
  <w:style w:type="character" w:styleId="PidipaginaCarattere" w:customStyle="1">
    <w:name w:val="Piè di pagina Carattere"/>
    <w:basedOn w:val="Carpredefinitoparagrafo"/>
    <w:link w:val="Pidipagina"/>
    <w:uiPriority w:val="99"/>
    <w:rsid w:val="007B762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453813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3" /><Relationship Type="http://schemas.openxmlformats.org/officeDocument/2006/relationships/theme" Target="theme/theme1.xml" Id="rId7" /><Relationship Type="http://schemas.openxmlformats.org/officeDocument/2006/relationships/settings" Target="settings.xml" Id="rId2" /><Relationship Type="http://schemas.openxmlformats.org/officeDocument/2006/relationships/styles" Target="styles.xml" Id="rId1" /><Relationship Type="http://schemas.openxmlformats.org/officeDocument/2006/relationships/fontTable" Target="fontTable.xml" Id="rId6" /><Relationship Type="http://schemas.openxmlformats.org/officeDocument/2006/relationships/endnotes" Target="endnotes.xml" Id="rId5" /><Relationship Type="http://schemas.openxmlformats.org/officeDocument/2006/relationships/footnotes" Target="footnotes.xml" Id="rId4" /></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Jacopo Ferrari</dc:creator>
  <keywords/>
  <dc:description/>
  <lastModifiedBy>Jacopo Ferrari</lastModifiedBy>
  <revision>11</revision>
  <dcterms:created xsi:type="dcterms:W3CDTF">2021-11-25T09:11:00.0000000Z</dcterms:created>
  <dcterms:modified xsi:type="dcterms:W3CDTF">2021-12-02T14:00:15.3770539Z</dcterms:modified>
</coreProperties>
</file>