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09A" w:rsidRDefault="006A7FA7" w:rsidP="0085109A">
      <w:pPr>
        <w:spacing w:line="360" w:lineRule="auto"/>
        <w:jc w:val="both"/>
        <w:rPr>
          <w:rFonts w:ascii="Arial" w:hAnsi="Arial"/>
          <w:b/>
          <w:sz w:val="22"/>
          <w:lang w:val="en-GB"/>
        </w:rPr>
      </w:pPr>
      <w:r w:rsidRPr="00FC69E0">
        <w:rPr>
          <w:rFonts w:ascii="Arial" w:hAnsi="Arial"/>
          <w:b/>
          <w:sz w:val="22"/>
          <w:vertAlign w:val="superscript"/>
          <w:lang w:val="en-GB"/>
        </w:rPr>
        <w:t>1</w:t>
      </w:r>
      <w:r w:rsidRPr="00FC69E0">
        <w:rPr>
          <w:rFonts w:ascii="Arial" w:hAnsi="Arial"/>
          <w:b/>
          <w:sz w:val="22"/>
          <w:lang w:val="en-GB"/>
        </w:rPr>
        <w:t>H-MRS lipid spectra of i</w:t>
      </w:r>
      <w:r w:rsidR="0085109A" w:rsidRPr="00FC69E0">
        <w:rPr>
          <w:rFonts w:ascii="Arial" w:hAnsi="Arial"/>
          <w:b/>
          <w:sz w:val="22"/>
          <w:lang w:val="en-GB"/>
        </w:rPr>
        <w:t xml:space="preserve">nterventricular </w:t>
      </w:r>
      <w:r w:rsidRPr="00FC69E0">
        <w:rPr>
          <w:rFonts w:ascii="Arial" w:hAnsi="Arial"/>
          <w:b/>
          <w:sz w:val="22"/>
          <w:lang w:val="en-GB"/>
        </w:rPr>
        <w:t>s</w:t>
      </w:r>
      <w:r w:rsidR="0085109A" w:rsidRPr="00FC69E0">
        <w:rPr>
          <w:rFonts w:ascii="Arial" w:hAnsi="Arial"/>
          <w:b/>
          <w:sz w:val="22"/>
          <w:lang w:val="en-GB"/>
        </w:rPr>
        <w:t>eptum (SEP)</w:t>
      </w:r>
      <w:r w:rsidRPr="00FC69E0">
        <w:rPr>
          <w:rFonts w:ascii="Arial" w:hAnsi="Arial"/>
          <w:b/>
          <w:sz w:val="22"/>
          <w:lang w:val="en-GB"/>
        </w:rPr>
        <w:t xml:space="preserve">: </w:t>
      </w:r>
      <w:r w:rsidR="00C40D0E" w:rsidRPr="00FC69E0">
        <w:rPr>
          <w:rFonts w:ascii="Arial" w:hAnsi="Arial"/>
          <w:b/>
          <w:sz w:val="22"/>
          <w:lang w:val="en-GB"/>
        </w:rPr>
        <w:t xml:space="preserve">a novel </w:t>
      </w:r>
      <w:r w:rsidR="007B4CA4" w:rsidRPr="00FC69E0">
        <w:rPr>
          <w:rFonts w:ascii="Arial" w:hAnsi="Arial"/>
          <w:b/>
          <w:sz w:val="22"/>
          <w:lang w:val="en-GB"/>
        </w:rPr>
        <w:t>marker</w:t>
      </w:r>
      <w:r w:rsidR="00C40D0E" w:rsidRPr="00FC69E0">
        <w:rPr>
          <w:rFonts w:ascii="Arial" w:hAnsi="Arial"/>
          <w:b/>
          <w:sz w:val="22"/>
          <w:lang w:val="en-GB"/>
        </w:rPr>
        <w:t xml:space="preserve"> of cardiovascular (CV) events </w:t>
      </w:r>
      <w:r w:rsidR="0085109A" w:rsidRPr="00FC69E0">
        <w:rPr>
          <w:rFonts w:ascii="Arial" w:hAnsi="Arial"/>
          <w:b/>
          <w:sz w:val="22"/>
          <w:lang w:val="en-GB"/>
        </w:rPr>
        <w:t xml:space="preserve">in </w:t>
      </w:r>
      <w:proofErr w:type="spellStart"/>
      <w:r w:rsidR="00E35433" w:rsidRPr="00FC69E0">
        <w:rPr>
          <w:rFonts w:ascii="Arial" w:hAnsi="Arial"/>
          <w:b/>
          <w:sz w:val="22"/>
          <w:lang w:val="en-GB"/>
        </w:rPr>
        <w:t>hyperglycemic</w:t>
      </w:r>
      <w:proofErr w:type="spellEnd"/>
      <w:r w:rsidR="00255624" w:rsidRPr="00FC69E0">
        <w:rPr>
          <w:rFonts w:ascii="Arial" w:hAnsi="Arial"/>
          <w:b/>
          <w:sz w:val="22"/>
          <w:lang w:val="en-GB"/>
        </w:rPr>
        <w:t xml:space="preserve"> (HG)</w:t>
      </w:r>
      <w:r w:rsidR="00E35433" w:rsidRPr="00FC69E0">
        <w:rPr>
          <w:rFonts w:ascii="Arial" w:hAnsi="Arial"/>
          <w:b/>
          <w:sz w:val="22"/>
          <w:lang w:val="en-GB"/>
        </w:rPr>
        <w:t xml:space="preserve"> </w:t>
      </w:r>
      <w:r w:rsidR="0085109A" w:rsidRPr="00FC69E0">
        <w:rPr>
          <w:rFonts w:ascii="Arial" w:hAnsi="Arial"/>
          <w:b/>
          <w:sz w:val="22"/>
          <w:lang w:val="en-GB"/>
        </w:rPr>
        <w:t>patients</w:t>
      </w:r>
    </w:p>
    <w:p w:rsidR="0085109A" w:rsidRPr="00050691" w:rsidRDefault="0085109A" w:rsidP="0085109A">
      <w:pPr>
        <w:spacing w:line="360" w:lineRule="auto"/>
        <w:jc w:val="both"/>
        <w:rPr>
          <w:rFonts w:ascii="Arial" w:hAnsi="Arial"/>
          <w:b/>
          <w:sz w:val="22"/>
          <w:lang w:val="en-GB"/>
        </w:rPr>
      </w:pPr>
    </w:p>
    <w:p w:rsidR="0085109A" w:rsidRDefault="0085109A" w:rsidP="0085109A">
      <w:pPr>
        <w:spacing w:line="360" w:lineRule="auto"/>
        <w:rPr>
          <w:rFonts w:ascii="Arial" w:hAnsi="Arial"/>
          <w:sz w:val="20"/>
        </w:rPr>
      </w:pPr>
      <w:r>
        <w:rPr>
          <w:rFonts w:ascii="Arial" w:hAnsi="Arial"/>
          <w:sz w:val="20"/>
        </w:rPr>
        <w:t>R. Codella</w:t>
      </w:r>
      <w:r w:rsidRPr="00AE0762">
        <w:rPr>
          <w:rFonts w:ascii="Arial" w:hAnsi="Arial"/>
          <w:sz w:val="20"/>
          <w:vertAlign w:val="superscript"/>
        </w:rPr>
        <w:t>1,2</w:t>
      </w:r>
      <w:r>
        <w:rPr>
          <w:rFonts w:ascii="Arial" w:hAnsi="Arial"/>
          <w:sz w:val="20"/>
        </w:rPr>
        <w:t>, G</w:t>
      </w:r>
      <w:r w:rsidRPr="00AE0762">
        <w:rPr>
          <w:rFonts w:ascii="Arial" w:hAnsi="Arial"/>
          <w:sz w:val="20"/>
        </w:rPr>
        <w:t xml:space="preserve">. </w:t>
      </w:r>
      <w:r>
        <w:rPr>
          <w:rFonts w:ascii="Arial" w:hAnsi="Arial"/>
          <w:sz w:val="20"/>
        </w:rPr>
        <w:t>Di Leo</w:t>
      </w:r>
      <w:r>
        <w:rPr>
          <w:rFonts w:ascii="Arial" w:hAnsi="Arial"/>
          <w:sz w:val="20"/>
          <w:vertAlign w:val="superscript"/>
        </w:rPr>
        <w:t>3</w:t>
      </w:r>
      <w:r w:rsidRPr="00AE0762">
        <w:rPr>
          <w:rFonts w:ascii="Arial" w:hAnsi="Arial"/>
          <w:sz w:val="20"/>
        </w:rPr>
        <w:t>,</w:t>
      </w:r>
      <w:r w:rsidRPr="007476B1">
        <w:rPr>
          <w:rFonts w:ascii="Arial" w:hAnsi="Arial"/>
          <w:sz w:val="20"/>
        </w:rPr>
        <w:t xml:space="preserve"> </w:t>
      </w:r>
      <w:r>
        <w:rPr>
          <w:rFonts w:ascii="Arial" w:hAnsi="Arial"/>
          <w:sz w:val="20"/>
        </w:rPr>
        <w:t>M. Zanardo</w:t>
      </w:r>
      <w:r w:rsidRPr="00AE0762">
        <w:rPr>
          <w:rFonts w:ascii="Arial" w:hAnsi="Arial"/>
          <w:sz w:val="20"/>
          <w:vertAlign w:val="superscript"/>
        </w:rPr>
        <w:t>1</w:t>
      </w:r>
      <w:r w:rsidRPr="00AE0762">
        <w:rPr>
          <w:rFonts w:ascii="Arial" w:hAnsi="Arial"/>
          <w:sz w:val="20"/>
        </w:rPr>
        <w:t xml:space="preserve">, </w:t>
      </w:r>
      <w:r>
        <w:rPr>
          <w:rFonts w:ascii="Arial" w:hAnsi="Arial"/>
          <w:sz w:val="20"/>
        </w:rPr>
        <w:t>S</w:t>
      </w:r>
      <w:r w:rsidRPr="00AE0762">
        <w:rPr>
          <w:rFonts w:ascii="Arial" w:hAnsi="Arial"/>
          <w:sz w:val="20"/>
        </w:rPr>
        <w:t xml:space="preserve">. </w:t>
      </w:r>
      <w:r>
        <w:rPr>
          <w:rFonts w:ascii="Arial" w:hAnsi="Arial"/>
          <w:sz w:val="20"/>
        </w:rPr>
        <w:t>Schiaffino</w:t>
      </w:r>
      <w:r>
        <w:rPr>
          <w:rFonts w:ascii="Arial" w:hAnsi="Arial"/>
          <w:sz w:val="20"/>
          <w:vertAlign w:val="superscript"/>
        </w:rPr>
        <w:t>3</w:t>
      </w:r>
      <w:r w:rsidRPr="00AE0762">
        <w:rPr>
          <w:rFonts w:ascii="Arial" w:hAnsi="Arial"/>
          <w:sz w:val="20"/>
        </w:rPr>
        <w:t xml:space="preserve">, </w:t>
      </w:r>
      <w:r>
        <w:rPr>
          <w:rFonts w:ascii="Arial" w:hAnsi="Arial"/>
          <w:sz w:val="20"/>
        </w:rPr>
        <w:t>S</w:t>
      </w:r>
      <w:r w:rsidRPr="00AE0762">
        <w:rPr>
          <w:rFonts w:ascii="Arial" w:hAnsi="Arial"/>
          <w:sz w:val="20"/>
        </w:rPr>
        <w:t xml:space="preserve">. </w:t>
      </w:r>
      <w:r>
        <w:rPr>
          <w:rFonts w:ascii="Arial" w:hAnsi="Arial"/>
          <w:sz w:val="20"/>
        </w:rPr>
        <w:t>Fabiano</w:t>
      </w:r>
      <w:r>
        <w:rPr>
          <w:rFonts w:ascii="Arial" w:hAnsi="Arial"/>
          <w:sz w:val="20"/>
          <w:vertAlign w:val="superscript"/>
        </w:rPr>
        <w:t>3</w:t>
      </w:r>
      <w:r w:rsidRPr="00AE0762">
        <w:rPr>
          <w:rFonts w:ascii="Arial" w:hAnsi="Arial"/>
          <w:sz w:val="20"/>
        </w:rPr>
        <w:t>, C.</w:t>
      </w:r>
      <w:r>
        <w:rPr>
          <w:rFonts w:ascii="Arial" w:hAnsi="Arial"/>
          <w:sz w:val="20"/>
        </w:rPr>
        <w:t>B.</w:t>
      </w:r>
      <w:r w:rsidRPr="00AE0762">
        <w:rPr>
          <w:rFonts w:ascii="Arial" w:hAnsi="Arial"/>
          <w:sz w:val="20"/>
        </w:rPr>
        <w:t xml:space="preserve"> M</w:t>
      </w:r>
      <w:r>
        <w:rPr>
          <w:rFonts w:ascii="Arial" w:hAnsi="Arial"/>
          <w:sz w:val="20"/>
        </w:rPr>
        <w:t>onti</w:t>
      </w:r>
      <w:r>
        <w:rPr>
          <w:rFonts w:ascii="Arial" w:hAnsi="Arial"/>
          <w:sz w:val="20"/>
          <w:vertAlign w:val="superscript"/>
        </w:rPr>
        <w:t>1</w:t>
      </w:r>
      <w:r w:rsidRPr="00AE0762">
        <w:rPr>
          <w:rFonts w:ascii="Arial" w:hAnsi="Arial"/>
          <w:sz w:val="20"/>
        </w:rPr>
        <w:t xml:space="preserve">, </w:t>
      </w:r>
      <w:r>
        <w:rPr>
          <w:rFonts w:ascii="Arial" w:hAnsi="Arial"/>
          <w:sz w:val="20"/>
        </w:rPr>
        <w:t>M</w:t>
      </w:r>
      <w:r w:rsidRPr="00AE0762">
        <w:rPr>
          <w:rFonts w:ascii="Arial" w:hAnsi="Arial"/>
          <w:sz w:val="20"/>
        </w:rPr>
        <w:t>.</w:t>
      </w:r>
      <w:r>
        <w:rPr>
          <w:rFonts w:ascii="Arial" w:hAnsi="Arial"/>
          <w:sz w:val="20"/>
        </w:rPr>
        <w:t xml:space="preserve"> Codari</w:t>
      </w:r>
      <w:r>
        <w:rPr>
          <w:rFonts w:ascii="Arial" w:hAnsi="Arial"/>
          <w:sz w:val="20"/>
          <w:vertAlign w:val="superscript"/>
        </w:rPr>
        <w:t>3</w:t>
      </w:r>
      <w:r>
        <w:rPr>
          <w:rFonts w:ascii="Arial" w:hAnsi="Arial"/>
          <w:sz w:val="20"/>
        </w:rPr>
        <w:t>,</w:t>
      </w:r>
      <w:r w:rsidRPr="00AE0762">
        <w:rPr>
          <w:rFonts w:ascii="Arial" w:hAnsi="Arial"/>
          <w:sz w:val="20"/>
        </w:rPr>
        <w:t xml:space="preserve"> L. Luzi </w:t>
      </w:r>
      <w:r w:rsidRPr="00AE0762">
        <w:rPr>
          <w:rFonts w:ascii="Arial" w:hAnsi="Arial"/>
          <w:sz w:val="20"/>
          <w:vertAlign w:val="superscript"/>
        </w:rPr>
        <w:t>1,</w:t>
      </w:r>
      <w:r>
        <w:rPr>
          <w:rFonts w:ascii="Arial" w:hAnsi="Arial"/>
          <w:sz w:val="20"/>
          <w:vertAlign w:val="superscript"/>
        </w:rPr>
        <w:t>2</w:t>
      </w:r>
      <w:r>
        <w:rPr>
          <w:rFonts w:ascii="Arial" w:hAnsi="Arial"/>
          <w:sz w:val="20"/>
        </w:rPr>
        <w:t>,</w:t>
      </w:r>
    </w:p>
    <w:p w:rsidR="0085109A" w:rsidRPr="00AE0762" w:rsidRDefault="0085109A" w:rsidP="0085109A">
      <w:pPr>
        <w:spacing w:line="360" w:lineRule="auto"/>
        <w:rPr>
          <w:rFonts w:ascii="Arial" w:hAnsi="Arial"/>
          <w:sz w:val="20"/>
        </w:rPr>
      </w:pPr>
      <w:r>
        <w:rPr>
          <w:rFonts w:ascii="Arial" w:hAnsi="Arial"/>
          <w:sz w:val="20"/>
        </w:rPr>
        <w:t>F. Sardanelli</w:t>
      </w:r>
      <w:r>
        <w:rPr>
          <w:rFonts w:ascii="Arial" w:hAnsi="Arial"/>
          <w:sz w:val="20"/>
          <w:vertAlign w:val="superscript"/>
        </w:rPr>
        <w:t>1,3</w:t>
      </w:r>
    </w:p>
    <w:p w:rsidR="0085109A" w:rsidRPr="00050691" w:rsidRDefault="0085109A" w:rsidP="0085109A">
      <w:pPr>
        <w:spacing w:line="360" w:lineRule="auto"/>
        <w:rPr>
          <w:rFonts w:ascii="Arial" w:hAnsi="Arial"/>
          <w:b/>
          <w:sz w:val="22"/>
        </w:rPr>
      </w:pPr>
    </w:p>
    <w:p w:rsidR="0085109A" w:rsidRDefault="0085109A" w:rsidP="0085109A">
      <w:pPr>
        <w:pStyle w:val="Paragrafoelenco"/>
        <w:numPr>
          <w:ilvl w:val="0"/>
          <w:numId w:val="1"/>
        </w:numPr>
        <w:tabs>
          <w:tab w:val="left" w:pos="284"/>
        </w:tabs>
        <w:autoSpaceDE w:val="0"/>
        <w:autoSpaceDN w:val="0"/>
        <w:adjustRightInd w:val="0"/>
        <w:spacing w:line="360" w:lineRule="auto"/>
        <w:ind w:left="284" w:right="-483" w:hanging="284"/>
        <w:jc w:val="both"/>
        <w:rPr>
          <w:rFonts w:ascii="Helvetica" w:hAnsi="Helvetica"/>
          <w:sz w:val="18"/>
          <w:lang w:val="en-GB"/>
        </w:rPr>
      </w:pPr>
      <w:r w:rsidRPr="00AE0762">
        <w:rPr>
          <w:rFonts w:ascii="Helvetica" w:hAnsi="Helvetica"/>
          <w:sz w:val="18"/>
          <w:lang w:val="en-GB"/>
        </w:rPr>
        <w:t>Department of Biomedical Sciences for Health, Università degli Studi di Milano, Milan, Italy</w:t>
      </w:r>
    </w:p>
    <w:p w:rsidR="0085109A" w:rsidRPr="00692052" w:rsidRDefault="0085109A" w:rsidP="0085109A">
      <w:pPr>
        <w:pStyle w:val="Paragrafoelenco"/>
        <w:numPr>
          <w:ilvl w:val="0"/>
          <w:numId w:val="1"/>
        </w:numPr>
        <w:tabs>
          <w:tab w:val="left" w:pos="284"/>
        </w:tabs>
        <w:autoSpaceDE w:val="0"/>
        <w:autoSpaceDN w:val="0"/>
        <w:adjustRightInd w:val="0"/>
        <w:spacing w:line="360" w:lineRule="auto"/>
        <w:ind w:left="284" w:right="-483" w:hanging="284"/>
        <w:jc w:val="both"/>
        <w:rPr>
          <w:rFonts w:ascii="Helvetica" w:hAnsi="Helvetica"/>
          <w:sz w:val="18"/>
        </w:rPr>
      </w:pPr>
      <w:r>
        <w:rPr>
          <w:rFonts w:ascii="Helvetica" w:hAnsi="Helvetica"/>
          <w:sz w:val="18"/>
        </w:rPr>
        <w:t>Metabolism Research Center</w:t>
      </w:r>
      <w:r w:rsidRPr="00711004">
        <w:rPr>
          <w:rFonts w:ascii="Helvetica" w:hAnsi="Helvetica"/>
          <w:sz w:val="18"/>
        </w:rPr>
        <w:t xml:space="preserve">, </w:t>
      </w:r>
      <w:r w:rsidRPr="00AE0762">
        <w:rPr>
          <w:rFonts w:ascii="Helvetica" w:hAnsi="Helvetica"/>
          <w:sz w:val="18"/>
        </w:rPr>
        <w:t>IRCCS</w:t>
      </w:r>
      <w:r>
        <w:rPr>
          <w:rFonts w:ascii="Helvetica" w:hAnsi="Helvetica"/>
          <w:sz w:val="18"/>
        </w:rPr>
        <w:t xml:space="preserve"> Policlinico San Donato</w:t>
      </w:r>
      <w:r w:rsidRPr="00AE0762">
        <w:rPr>
          <w:rFonts w:ascii="Helvetica" w:hAnsi="Helvetica"/>
          <w:sz w:val="18"/>
        </w:rPr>
        <w:t>, San Donato Milanese, Italy</w:t>
      </w:r>
    </w:p>
    <w:p w:rsidR="0085109A" w:rsidRPr="00711004" w:rsidRDefault="0085109A" w:rsidP="0085109A">
      <w:pPr>
        <w:spacing w:line="360" w:lineRule="auto"/>
        <w:jc w:val="both"/>
        <w:rPr>
          <w:rFonts w:ascii="Helvetica" w:hAnsi="Helvetica"/>
          <w:sz w:val="18"/>
        </w:rPr>
      </w:pPr>
      <w:r w:rsidRPr="00711004">
        <w:rPr>
          <w:rFonts w:ascii="Helvetica" w:hAnsi="Helvetica"/>
          <w:sz w:val="18"/>
        </w:rPr>
        <w:t xml:space="preserve">(3) </w:t>
      </w:r>
      <w:r>
        <w:rPr>
          <w:rFonts w:ascii="Helvetica" w:hAnsi="Helvetica"/>
          <w:sz w:val="18"/>
        </w:rPr>
        <w:t xml:space="preserve">Radiology Unit, </w:t>
      </w:r>
      <w:r w:rsidRPr="00AE0762">
        <w:rPr>
          <w:rFonts w:ascii="Helvetica" w:hAnsi="Helvetica"/>
          <w:sz w:val="18"/>
        </w:rPr>
        <w:t>IRCCS</w:t>
      </w:r>
      <w:r>
        <w:rPr>
          <w:rFonts w:ascii="Helvetica" w:hAnsi="Helvetica"/>
          <w:sz w:val="18"/>
        </w:rPr>
        <w:t xml:space="preserve"> Policlinico San Donato</w:t>
      </w:r>
      <w:r w:rsidRPr="00AE0762">
        <w:rPr>
          <w:rFonts w:ascii="Helvetica" w:hAnsi="Helvetica"/>
          <w:sz w:val="18"/>
        </w:rPr>
        <w:t>, San Donato Milanese, Italy</w:t>
      </w:r>
    </w:p>
    <w:p w:rsidR="0085109A" w:rsidRDefault="0085109A" w:rsidP="0085109A">
      <w:pPr>
        <w:spacing w:line="360" w:lineRule="auto"/>
        <w:jc w:val="both"/>
        <w:rPr>
          <w:rFonts w:ascii="Arial" w:hAnsi="Arial"/>
          <w:b/>
          <w:sz w:val="22"/>
        </w:rPr>
      </w:pPr>
    </w:p>
    <w:p w:rsidR="0085109A" w:rsidRPr="00C53B56" w:rsidRDefault="0085109A" w:rsidP="0085109A">
      <w:pPr>
        <w:spacing w:line="360" w:lineRule="auto"/>
        <w:jc w:val="both"/>
        <w:rPr>
          <w:rFonts w:ascii="Arial" w:hAnsi="Arial"/>
          <w:sz w:val="18"/>
          <w:lang w:val="fr-FR"/>
        </w:rPr>
      </w:pPr>
      <w:r w:rsidRPr="00C53B56">
        <w:rPr>
          <w:rFonts w:ascii="Arial" w:hAnsi="Arial"/>
          <w:b/>
          <w:sz w:val="18"/>
          <w:lang w:val="fr-FR"/>
        </w:rPr>
        <w:t>Keywords</w:t>
      </w:r>
      <w:r>
        <w:rPr>
          <w:rFonts w:ascii="Arial" w:hAnsi="Arial"/>
          <w:b/>
          <w:sz w:val="18"/>
          <w:lang w:val="fr-FR"/>
        </w:rPr>
        <w:t xml:space="preserve"> </w:t>
      </w:r>
      <w:r w:rsidRPr="00C53B56">
        <w:rPr>
          <w:rFonts w:ascii="Arial" w:hAnsi="Arial"/>
          <w:b/>
          <w:sz w:val="18"/>
          <w:lang w:val="fr-FR"/>
        </w:rPr>
        <w:t>:</w:t>
      </w:r>
      <w:r w:rsidRPr="00C53B56">
        <w:rPr>
          <w:rFonts w:ascii="Arial" w:hAnsi="Arial"/>
          <w:sz w:val="18"/>
          <w:lang w:val="fr-FR"/>
        </w:rPr>
        <w:t xml:space="preserve"> </w:t>
      </w:r>
      <w:proofErr w:type="spellStart"/>
      <w:r>
        <w:rPr>
          <w:rFonts w:ascii="Arial" w:hAnsi="Arial"/>
          <w:sz w:val="18"/>
          <w:lang w:val="fr-FR"/>
        </w:rPr>
        <w:t>magnetic</w:t>
      </w:r>
      <w:proofErr w:type="spellEnd"/>
      <w:r>
        <w:rPr>
          <w:rFonts w:ascii="Arial" w:hAnsi="Arial"/>
          <w:sz w:val="18"/>
          <w:lang w:val="fr-FR"/>
        </w:rPr>
        <w:t xml:space="preserve"> </w:t>
      </w:r>
      <w:proofErr w:type="spellStart"/>
      <w:r>
        <w:rPr>
          <w:rFonts w:ascii="Arial" w:hAnsi="Arial"/>
          <w:sz w:val="18"/>
          <w:lang w:val="fr-FR"/>
        </w:rPr>
        <w:t>resonance</w:t>
      </w:r>
      <w:proofErr w:type="spellEnd"/>
      <w:r>
        <w:rPr>
          <w:rFonts w:ascii="Arial" w:hAnsi="Arial"/>
          <w:sz w:val="18"/>
          <w:lang w:val="fr-FR"/>
        </w:rPr>
        <w:t xml:space="preserve"> </w:t>
      </w:r>
      <w:proofErr w:type="spellStart"/>
      <w:r>
        <w:rPr>
          <w:rFonts w:ascii="Arial" w:hAnsi="Arial"/>
          <w:sz w:val="18"/>
          <w:lang w:val="fr-FR"/>
        </w:rPr>
        <w:t>spectroscopy</w:t>
      </w:r>
      <w:proofErr w:type="spellEnd"/>
      <w:r>
        <w:rPr>
          <w:rFonts w:ascii="Arial" w:hAnsi="Arial"/>
          <w:sz w:val="18"/>
          <w:lang w:val="fr-FR"/>
        </w:rPr>
        <w:t xml:space="preserve">, </w:t>
      </w:r>
      <w:proofErr w:type="spellStart"/>
      <w:r>
        <w:rPr>
          <w:rFonts w:ascii="Arial" w:hAnsi="Arial"/>
          <w:sz w:val="18"/>
          <w:lang w:val="fr-FR"/>
        </w:rPr>
        <w:t>lipids</w:t>
      </w:r>
      <w:proofErr w:type="spellEnd"/>
      <w:r>
        <w:rPr>
          <w:rFonts w:ascii="Arial" w:hAnsi="Arial"/>
          <w:sz w:val="18"/>
          <w:lang w:val="fr-FR"/>
        </w:rPr>
        <w:t xml:space="preserve">, </w:t>
      </w:r>
      <w:proofErr w:type="spellStart"/>
      <w:r>
        <w:rPr>
          <w:rFonts w:ascii="Arial" w:hAnsi="Arial"/>
          <w:sz w:val="18"/>
          <w:lang w:val="fr-FR"/>
        </w:rPr>
        <w:t>cardiometabolic</w:t>
      </w:r>
      <w:proofErr w:type="spellEnd"/>
      <w:r>
        <w:rPr>
          <w:rFonts w:ascii="Arial" w:hAnsi="Arial"/>
          <w:sz w:val="18"/>
          <w:lang w:val="fr-FR"/>
        </w:rPr>
        <w:t xml:space="preserve"> </w:t>
      </w:r>
      <w:proofErr w:type="spellStart"/>
      <w:r>
        <w:rPr>
          <w:rFonts w:ascii="Arial" w:hAnsi="Arial"/>
          <w:sz w:val="18"/>
          <w:lang w:val="fr-FR"/>
        </w:rPr>
        <w:t>risk</w:t>
      </w:r>
      <w:proofErr w:type="spellEnd"/>
    </w:p>
    <w:p w:rsidR="0085109A" w:rsidRDefault="0085109A" w:rsidP="0085109A">
      <w:pPr>
        <w:spacing w:line="360" w:lineRule="auto"/>
        <w:jc w:val="both"/>
        <w:rPr>
          <w:rFonts w:ascii="Arial" w:hAnsi="Arial"/>
          <w:sz w:val="22"/>
          <w:lang w:val="fr-FR"/>
        </w:rPr>
      </w:pPr>
    </w:p>
    <w:p w:rsidR="0085109A" w:rsidRPr="00050691" w:rsidRDefault="0085109A" w:rsidP="0085109A">
      <w:pPr>
        <w:spacing w:line="360" w:lineRule="auto"/>
        <w:jc w:val="both"/>
        <w:rPr>
          <w:rFonts w:ascii="Arial" w:hAnsi="Arial"/>
          <w:sz w:val="22"/>
          <w:lang w:val="fr-FR"/>
        </w:rPr>
      </w:pPr>
    </w:p>
    <w:p w:rsidR="00967015" w:rsidRPr="00FC69E0" w:rsidRDefault="00967015" w:rsidP="00967015">
      <w:pPr>
        <w:spacing w:line="360" w:lineRule="auto"/>
        <w:jc w:val="both"/>
        <w:rPr>
          <w:rFonts w:ascii="Arial" w:hAnsi="Arial"/>
          <w:strike/>
          <w:sz w:val="22"/>
          <w:lang w:val="en-GB"/>
        </w:rPr>
      </w:pPr>
      <w:bookmarkStart w:id="0" w:name="_GoBack"/>
      <w:r w:rsidRPr="00FC69E0">
        <w:rPr>
          <w:rFonts w:ascii="Arial" w:hAnsi="Arial"/>
          <w:sz w:val="22"/>
          <w:lang w:val="en-GB"/>
        </w:rPr>
        <w:t>Proton magnetic resonance spectroscopy (</w:t>
      </w:r>
      <w:r w:rsidRPr="00FC69E0">
        <w:rPr>
          <w:rFonts w:ascii="Arial" w:hAnsi="Arial"/>
          <w:sz w:val="22"/>
          <w:vertAlign w:val="superscript"/>
          <w:lang w:val="en-GB"/>
        </w:rPr>
        <w:t>1</w:t>
      </w:r>
      <w:r w:rsidRPr="00FC69E0">
        <w:rPr>
          <w:rFonts w:ascii="Arial" w:hAnsi="Arial"/>
          <w:sz w:val="22"/>
          <w:lang w:val="en-GB"/>
        </w:rPr>
        <w:t>H-MRS) can detect and quantify lipid accumulation in specific myocardial or peri-myocardial districts.</w:t>
      </w:r>
      <w:r w:rsidRPr="00FC69E0">
        <w:rPr>
          <w:rFonts w:ascii="Arial" w:hAnsi="Arial"/>
          <w:strike/>
          <w:sz w:val="22"/>
          <w:lang w:val="en-GB"/>
        </w:rPr>
        <w:t xml:space="preserve"> </w:t>
      </w:r>
    </w:p>
    <w:p w:rsidR="00967015" w:rsidRPr="00FC69E0" w:rsidRDefault="00967015" w:rsidP="00967015">
      <w:pPr>
        <w:spacing w:line="360" w:lineRule="auto"/>
        <w:jc w:val="both"/>
        <w:rPr>
          <w:rFonts w:ascii="Arial" w:hAnsi="Arial"/>
          <w:sz w:val="22"/>
          <w:lang w:val="en-GB"/>
        </w:rPr>
      </w:pPr>
      <w:r w:rsidRPr="00FC69E0">
        <w:rPr>
          <w:rFonts w:ascii="Arial" w:hAnsi="Arial"/>
          <w:sz w:val="22"/>
          <w:lang w:val="en-GB"/>
        </w:rPr>
        <w:t>Thirty-three patients (20M/13F; BMI 26</w:t>
      </w:r>
      <w:r w:rsidRPr="00FC69E0">
        <w:rPr>
          <w:rFonts w:ascii="Arial" w:hAnsi="Arial" w:cs="Arial"/>
          <w:sz w:val="22"/>
          <w:lang w:val="en-GB"/>
        </w:rPr>
        <w:t>±</w:t>
      </w:r>
      <w:r w:rsidRPr="00FC69E0">
        <w:rPr>
          <w:rFonts w:ascii="Arial" w:hAnsi="Arial"/>
          <w:sz w:val="22"/>
          <w:lang w:val="en-GB"/>
        </w:rPr>
        <w:t>4 kg/m</w:t>
      </w:r>
      <w:r w:rsidRPr="00FC69E0">
        <w:rPr>
          <w:rFonts w:ascii="Arial" w:hAnsi="Arial"/>
          <w:sz w:val="22"/>
          <w:vertAlign w:val="superscript"/>
          <w:lang w:val="en-GB"/>
        </w:rPr>
        <w:t>2</w:t>
      </w:r>
      <w:r w:rsidRPr="00FC69E0">
        <w:rPr>
          <w:rFonts w:ascii="Arial" w:hAnsi="Arial"/>
          <w:sz w:val="22"/>
          <w:lang w:val="en-GB"/>
        </w:rPr>
        <w:t xml:space="preserve">; 64±10 </w:t>
      </w:r>
      <w:proofErr w:type="spellStart"/>
      <w:r w:rsidRPr="00FC69E0">
        <w:rPr>
          <w:rFonts w:ascii="Arial" w:hAnsi="Arial"/>
          <w:sz w:val="22"/>
          <w:lang w:val="en-GB"/>
        </w:rPr>
        <w:t>yrs</w:t>
      </w:r>
      <w:proofErr w:type="spellEnd"/>
      <w:r w:rsidRPr="00FC69E0">
        <w:rPr>
          <w:rFonts w:ascii="Arial" w:hAnsi="Arial"/>
          <w:sz w:val="22"/>
          <w:lang w:val="en-GB"/>
        </w:rPr>
        <w:t>) with</w:t>
      </w:r>
      <w:r w:rsidR="00136F24" w:rsidRPr="00FC69E0">
        <w:rPr>
          <w:rFonts w:ascii="Arial" w:hAnsi="Arial"/>
          <w:sz w:val="22"/>
          <w:lang w:val="en-GB"/>
        </w:rPr>
        <w:t xml:space="preserve"> suspect of CV</w:t>
      </w:r>
      <w:r w:rsidR="00C40D0E" w:rsidRPr="00FC69E0">
        <w:rPr>
          <w:rFonts w:ascii="Arial" w:hAnsi="Arial"/>
          <w:sz w:val="22"/>
          <w:lang w:val="en-GB"/>
        </w:rPr>
        <w:t xml:space="preserve"> diseases</w:t>
      </w:r>
      <w:r w:rsidR="00136F24" w:rsidRPr="00FC69E0">
        <w:rPr>
          <w:rFonts w:ascii="Arial" w:hAnsi="Arial"/>
          <w:sz w:val="22"/>
          <w:lang w:val="en-GB"/>
        </w:rPr>
        <w:t xml:space="preserve"> </w:t>
      </w:r>
      <w:r w:rsidRPr="00FC69E0">
        <w:rPr>
          <w:rFonts w:ascii="Arial" w:hAnsi="Arial"/>
          <w:sz w:val="22"/>
          <w:lang w:val="en-GB"/>
        </w:rPr>
        <w:t xml:space="preserve">underwent 1.5-T </w:t>
      </w:r>
      <w:r w:rsidRPr="00FC69E0">
        <w:rPr>
          <w:rFonts w:ascii="Arial" w:hAnsi="Arial"/>
          <w:sz w:val="22"/>
          <w:vertAlign w:val="superscript"/>
          <w:lang w:val="en-GB"/>
        </w:rPr>
        <w:t>1</w:t>
      </w:r>
      <w:r w:rsidRPr="00FC69E0">
        <w:rPr>
          <w:rFonts w:ascii="Arial" w:hAnsi="Arial"/>
          <w:sz w:val="22"/>
          <w:lang w:val="en-GB"/>
        </w:rPr>
        <w:t>H-MRS using a water-suppressed chemical-shift imaging sequence to quantify the lipid profile of SEP, epicardial (EAT), pericardial (PAT), and subcutaneous (SAT) adipose tissues. The integral of the lipid peaks at 0.9, 1.3, 2.0, 5.3 ppm was measured as percentage over the total amount of lipids (Table</w:t>
      </w:r>
      <w:r w:rsidR="0071428F">
        <w:rPr>
          <w:rFonts w:ascii="Arial" w:hAnsi="Arial"/>
          <w:sz w:val="22"/>
          <w:lang w:val="en-GB"/>
        </w:rPr>
        <w:t>)</w:t>
      </w:r>
      <w:r w:rsidRPr="00FC69E0">
        <w:rPr>
          <w:rFonts w:ascii="Arial" w:hAnsi="Arial"/>
          <w:sz w:val="22"/>
          <w:lang w:val="en-GB"/>
        </w:rPr>
        <w:t xml:space="preserve">. </w:t>
      </w:r>
      <w:r w:rsidR="00C40D0E" w:rsidRPr="00FC69E0">
        <w:rPr>
          <w:rFonts w:ascii="Arial" w:hAnsi="Arial"/>
          <w:sz w:val="22"/>
          <w:lang w:val="en-GB"/>
        </w:rPr>
        <w:t>A subgroup of 15 subjects</w:t>
      </w:r>
      <w:r w:rsidR="00D41E25" w:rsidRPr="00FC69E0">
        <w:rPr>
          <w:rFonts w:ascii="Arial" w:hAnsi="Arial"/>
          <w:sz w:val="22"/>
          <w:lang w:val="en-GB"/>
        </w:rPr>
        <w:t xml:space="preserve"> </w:t>
      </w:r>
      <w:r w:rsidR="00C40D0E" w:rsidRPr="00FC69E0">
        <w:rPr>
          <w:rFonts w:ascii="Arial" w:hAnsi="Arial"/>
          <w:sz w:val="22"/>
          <w:lang w:val="en-GB"/>
        </w:rPr>
        <w:t xml:space="preserve">were identified as </w:t>
      </w:r>
      <w:r w:rsidR="00255624" w:rsidRPr="00FC69E0">
        <w:rPr>
          <w:rFonts w:ascii="Arial" w:hAnsi="Arial"/>
          <w:sz w:val="22"/>
          <w:lang w:val="en-GB"/>
        </w:rPr>
        <w:t xml:space="preserve">HG </w:t>
      </w:r>
      <w:r w:rsidR="00A63B52" w:rsidRPr="00FC69E0">
        <w:rPr>
          <w:rFonts w:ascii="Arial" w:hAnsi="Arial"/>
          <w:sz w:val="22"/>
          <w:lang w:val="en-GB"/>
        </w:rPr>
        <w:t xml:space="preserve">(12 </w:t>
      </w:r>
      <w:r w:rsidR="005212B4">
        <w:rPr>
          <w:rFonts w:ascii="Arial" w:hAnsi="Arial"/>
          <w:sz w:val="22"/>
          <w:lang w:val="en-GB"/>
        </w:rPr>
        <w:t>impaired-</w:t>
      </w:r>
      <w:r w:rsidR="00A36C11">
        <w:rPr>
          <w:rFonts w:ascii="Arial" w:hAnsi="Arial"/>
          <w:sz w:val="22"/>
          <w:lang w:val="en-GB"/>
        </w:rPr>
        <w:t>fastin</w:t>
      </w:r>
      <w:r w:rsidR="005212B4">
        <w:rPr>
          <w:rFonts w:ascii="Arial" w:hAnsi="Arial"/>
          <w:sz w:val="22"/>
          <w:lang w:val="en-GB"/>
        </w:rPr>
        <w:t>g</w:t>
      </w:r>
      <w:r w:rsidR="00A36C11">
        <w:rPr>
          <w:rFonts w:ascii="Arial" w:hAnsi="Arial"/>
          <w:sz w:val="22"/>
          <w:lang w:val="en-GB"/>
        </w:rPr>
        <w:t>-</w:t>
      </w:r>
      <w:r w:rsidR="00130284">
        <w:rPr>
          <w:rFonts w:ascii="Arial" w:hAnsi="Arial"/>
          <w:sz w:val="22"/>
          <w:lang w:val="en-GB"/>
        </w:rPr>
        <w:t>g</w:t>
      </w:r>
      <w:r w:rsidR="005212B4">
        <w:rPr>
          <w:rFonts w:ascii="Arial" w:hAnsi="Arial"/>
          <w:sz w:val="22"/>
          <w:lang w:val="en-GB"/>
        </w:rPr>
        <w:t>lucose</w:t>
      </w:r>
      <w:r w:rsidR="00130284">
        <w:rPr>
          <w:rFonts w:ascii="Arial" w:hAnsi="Arial"/>
          <w:sz w:val="22"/>
          <w:lang w:val="en-GB"/>
        </w:rPr>
        <w:t xml:space="preserve"> a</w:t>
      </w:r>
      <w:r w:rsidR="005212B4">
        <w:rPr>
          <w:rFonts w:ascii="Arial" w:hAnsi="Arial"/>
          <w:sz w:val="22"/>
          <w:lang w:val="en-GB"/>
        </w:rPr>
        <w:t>nd</w:t>
      </w:r>
      <w:r w:rsidR="00A63B52" w:rsidRPr="00FC69E0">
        <w:rPr>
          <w:rFonts w:ascii="Arial" w:hAnsi="Arial"/>
          <w:sz w:val="22"/>
          <w:lang w:val="en-GB"/>
        </w:rPr>
        <w:t xml:space="preserve"> 3 diabetic</w:t>
      </w:r>
      <w:r w:rsidR="008034A6">
        <w:rPr>
          <w:rFonts w:ascii="Arial" w:hAnsi="Arial"/>
          <w:sz w:val="22"/>
          <w:lang w:val="en-GB"/>
        </w:rPr>
        <w:t>s</w:t>
      </w:r>
      <w:r w:rsidR="00A63B52" w:rsidRPr="00FC69E0">
        <w:rPr>
          <w:rFonts w:ascii="Arial" w:hAnsi="Arial"/>
          <w:sz w:val="22"/>
          <w:lang w:val="en-GB"/>
        </w:rPr>
        <w:t>:</w:t>
      </w:r>
      <w:r w:rsidR="00255624" w:rsidRPr="00FC69E0">
        <w:rPr>
          <w:rFonts w:ascii="Arial" w:hAnsi="Arial"/>
          <w:sz w:val="22"/>
          <w:lang w:val="en-GB"/>
        </w:rPr>
        <w:t xml:space="preserve"> </w:t>
      </w:r>
      <w:r w:rsidR="00C40D0E" w:rsidRPr="00FC69E0">
        <w:rPr>
          <w:rFonts w:ascii="Arial" w:hAnsi="Arial"/>
          <w:sz w:val="22"/>
          <w:lang w:val="en-GB"/>
        </w:rPr>
        <w:t>121</w:t>
      </w:r>
      <w:r w:rsidR="00C40D0E" w:rsidRPr="00FC69E0">
        <w:rPr>
          <w:rFonts w:ascii="Arial" w:hAnsi="Arial" w:cs="Arial"/>
          <w:sz w:val="22"/>
          <w:lang w:val="en-GB"/>
        </w:rPr>
        <w:t>±26 mg/</w:t>
      </w:r>
      <w:proofErr w:type="spellStart"/>
      <w:r w:rsidR="00C40D0E" w:rsidRPr="00FC69E0">
        <w:rPr>
          <w:rFonts w:ascii="Arial" w:hAnsi="Arial" w:cs="Arial"/>
          <w:sz w:val="22"/>
          <w:lang w:val="en-GB"/>
        </w:rPr>
        <w:t>dL</w:t>
      </w:r>
      <w:proofErr w:type="spellEnd"/>
      <w:r w:rsidR="00C40D0E" w:rsidRPr="00FC69E0">
        <w:rPr>
          <w:rFonts w:ascii="Arial" w:hAnsi="Arial"/>
          <w:sz w:val="22"/>
          <w:lang w:val="en-GB"/>
        </w:rPr>
        <w:t>).</w:t>
      </w:r>
      <w:r w:rsidR="001C2E25">
        <w:rPr>
          <w:rFonts w:ascii="Arial" w:hAnsi="Arial"/>
          <w:sz w:val="22"/>
          <w:lang w:val="en-GB"/>
        </w:rPr>
        <w:t xml:space="preserve"> </w:t>
      </w:r>
      <w:r w:rsidR="006A7FA7" w:rsidRPr="00FC69E0">
        <w:rPr>
          <w:rFonts w:ascii="Arial" w:hAnsi="Arial"/>
          <w:sz w:val="22"/>
          <w:lang w:val="en-GB"/>
        </w:rPr>
        <w:t>Bulk methylene (1.3 ppm) of SEP</w:t>
      </w:r>
      <w:r w:rsidR="005212B4">
        <w:rPr>
          <w:rFonts w:ascii="Arial" w:hAnsi="Arial"/>
          <w:sz w:val="22"/>
          <w:lang w:val="en-GB"/>
        </w:rPr>
        <w:t xml:space="preserve"> </w:t>
      </w:r>
      <w:r w:rsidR="006A7FA7" w:rsidRPr="00FC69E0">
        <w:rPr>
          <w:rFonts w:ascii="Arial" w:hAnsi="Arial"/>
          <w:sz w:val="22"/>
          <w:lang w:val="en-GB"/>
        </w:rPr>
        <w:t xml:space="preserve">was higher in </w:t>
      </w:r>
      <w:r w:rsidR="00255624" w:rsidRPr="00FC69E0">
        <w:rPr>
          <w:rFonts w:ascii="Arial" w:hAnsi="Arial"/>
          <w:sz w:val="22"/>
          <w:lang w:val="en-GB"/>
        </w:rPr>
        <w:t xml:space="preserve">HG </w:t>
      </w:r>
      <w:r w:rsidR="006A7FA7" w:rsidRPr="00FC69E0">
        <w:rPr>
          <w:rFonts w:ascii="Arial" w:hAnsi="Arial"/>
          <w:sz w:val="22"/>
          <w:lang w:val="en-GB"/>
        </w:rPr>
        <w:t>vs other patients</w:t>
      </w:r>
      <w:r w:rsidR="00DD2FE0" w:rsidRPr="00FC69E0">
        <w:rPr>
          <w:rFonts w:ascii="Arial" w:hAnsi="Arial"/>
          <w:sz w:val="22"/>
          <w:lang w:val="en-GB"/>
        </w:rPr>
        <w:t xml:space="preserve"> (P</w:t>
      </w:r>
      <w:r w:rsidR="0071428F">
        <w:rPr>
          <w:rFonts w:ascii="Arial" w:hAnsi="Arial"/>
          <w:sz w:val="22"/>
          <w:lang w:val="en-GB"/>
        </w:rPr>
        <w:t>=</w:t>
      </w:r>
      <w:r w:rsidR="00DD2FE0" w:rsidRPr="00FC69E0">
        <w:rPr>
          <w:rFonts w:ascii="Arial" w:hAnsi="Arial"/>
          <w:sz w:val="22"/>
          <w:lang w:val="en-GB"/>
        </w:rPr>
        <w:t>0</w:t>
      </w:r>
      <w:r w:rsidR="006A7FA7" w:rsidRPr="00FC69E0">
        <w:rPr>
          <w:rFonts w:ascii="Arial" w:hAnsi="Arial"/>
          <w:sz w:val="22"/>
          <w:lang w:val="en-GB"/>
        </w:rPr>
        <w:t>.</w:t>
      </w:r>
      <w:r w:rsidR="00DD2FE0" w:rsidRPr="00FC69E0">
        <w:rPr>
          <w:rFonts w:ascii="Arial" w:hAnsi="Arial"/>
          <w:sz w:val="22"/>
          <w:lang w:val="en-GB"/>
        </w:rPr>
        <w:t>0</w:t>
      </w:r>
      <w:r w:rsidR="0071428F">
        <w:rPr>
          <w:rFonts w:ascii="Arial" w:hAnsi="Arial"/>
          <w:sz w:val="22"/>
          <w:lang w:val="en-GB"/>
        </w:rPr>
        <w:t>47</w:t>
      </w:r>
      <w:r w:rsidR="00DD2FE0" w:rsidRPr="00FC69E0">
        <w:rPr>
          <w:rFonts w:ascii="Arial" w:hAnsi="Arial"/>
          <w:sz w:val="22"/>
          <w:lang w:val="en-GB"/>
        </w:rPr>
        <w:t>).</w:t>
      </w:r>
      <w:r w:rsidR="00BF14D6">
        <w:rPr>
          <w:rFonts w:ascii="Arial" w:hAnsi="Arial"/>
          <w:sz w:val="22"/>
          <w:lang w:val="en-GB"/>
        </w:rPr>
        <w:t xml:space="preserve"> </w:t>
      </w:r>
      <w:r w:rsidR="00FF68A7" w:rsidRPr="00FC69E0">
        <w:rPr>
          <w:rFonts w:ascii="Arial" w:hAnsi="Arial"/>
          <w:sz w:val="22"/>
          <w:lang w:val="en-GB"/>
        </w:rPr>
        <w:t xml:space="preserve">In </w:t>
      </w:r>
      <w:r w:rsidR="00255624" w:rsidRPr="00FC69E0">
        <w:rPr>
          <w:rFonts w:ascii="Arial" w:hAnsi="Arial"/>
          <w:sz w:val="22"/>
          <w:lang w:val="en-GB"/>
        </w:rPr>
        <w:t>HG</w:t>
      </w:r>
      <w:r w:rsidR="00A63B52" w:rsidRPr="00FC69E0">
        <w:rPr>
          <w:rFonts w:ascii="Arial" w:hAnsi="Arial"/>
          <w:sz w:val="22"/>
          <w:lang w:val="en-GB"/>
        </w:rPr>
        <w:t xml:space="preserve"> </w:t>
      </w:r>
      <w:r w:rsidR="00BF14D6">
        <w:rPr>
          <w:rFonts w:ascii="Arial" w:hAnsi="Arial"/>
          <w:sz w:val="22"/>
          <w:lang w:val="en-GB"/>
        </w:rPr>
        <w:t>patients,</w:t>
      </w:r>
      <w:r w:rsidR="00FF68A7" w:rsidRPr="00FC69E0">
        <w:rPr>
          <w:rFonts w:ascii="Arial" w:hAnsi="Arial"/>
          <w:sz w:val="22"/>
          <w:lang w:val="en-GB"/>
        </w:rPr>
        <w:t xml:space="preserve"> </w:t>
      </w:r>
      <w:r w:rsidRPr="00FC69E0">
        <w:rPr>
          <w:rFonts w:ascii="Arial" w:hAnsi="Arial"/>
          <w:sz w:val="22"/>
          <w:lang w:val="en-GB"/>
        </w:rPr>
        <w:t xml:space="preserve">SEP was </w:t>
      </w:r>
      <w:r w:rsidR="00443280" w:rsidRPr="00FC69E0">
        <w:rPr>
          <w:rFonts w:ascii="Arial" w:hAnsi="Arial"/>
          <w:sz w:val="22"/>
          <w:lang w:val="en-GB"/>
        </w:rPr>
        <w:t>positively</w:t>
      </w:r>
      <w:r w:rsidRPr="00FC69E0">
        <w:rPr>
          <w:rFonts w:ascii="Arial" w:hAnsi="Arial"/>
          <w:sz w:val="22"/>
          <w:lang w:val="en-GB"/>
        </w:rPr>
        <w:t xml:space="preserve"> </w:t>
      </w:r>
      <w:r w:rsidR="00BF14D6">
        <w:rPr>
          <w:rFonts w:ascii="Arial" w:hAnsi="Arial"/>
          <w:sz w:val="22"/>
          <w:lang w:val="en-GB"/>
        </w:rPr>
        <w:t>cor</w:t>
      </w:r>
      <w:r w:rsidRPr="00FC69E0">
        <w:rPr>
          <w:rFonts w:ascii="Arial" w:hAnsi="Arial"/>
          <w:sz w:val="22"/>
          <w:lang w:val="en-GB"/>
        </w:rPr>
        <w:t>related to glucose</w:t>
      </w:r>
      <w:r w:rsidR="0071428F">
        <w:rPr>
          <w:rFonts w:ascii="Arial" w:hAnsi="Arial"/>
          <w:sz w:val="22"/>
          <w:lang w:val="en-GB"/>
        </w:rPr>
        <w:t>, visceral fat,</w:t>
      </w:r>
      <w:r w:rsidRPr="00FC69E0">
        <w:rPr>
          <w:rFonts w:ascii="Arial" w:hAnsi="Arial"/>
          <w:sz w:val="22"/>
          <w:lang w:val="en-GB"/>
        </w:rPr>
        <w:t xml:space="preserve"> </w:t>
      </w:r>
      <w:r w:rsidR="008034A6">
        <w:rPr>
          <w:rFonts w:ascii="Arial" w:hAnsi="Arial"/>
          <w:sz w:val="22"/>
          <w:lang w:val="en-GB"/>
        </w:rPr>
        <w:t>C</w:t>
      </w:r>
      <w:r w:rsidR="005212B4">
        <w:rPr>
          <w:rFonts w:ascii="Arial" w:hAnsi="Arial"/>
          <w:sz w:val="22"/>
          <w:lang w:val="en-GB"/>
        </w:rPr>
        <w:t>-reactive protein</w:t>
      </w:r>
      <w:r w:rsidR="005344E5" w:rsidRPr="00FC69E0">
        <w:rPr>
          <w:rFonts w:ascii="Arial" w:hAnsi="Arial"/>
          <w:sz w:val="22"/>
          <w:lang w:val="en-GB"/>
        </w:rPr>
        <w:t xml:space="preserve"> </w:t>
      </w:r>
      <w:r w:rsidRPr="00FC69E0">
        <w:rPr>
          <w:rFonts w:ascii="Arial" w:hAnsi="Arial"/>
          <w:sz w:val="22"/>
          <w:lang w:val="en-GB"/>
        </w:rPr>
        <w:t>(</w:t>
      </w:r>
      <w:r w:rsidR="008034A6">
        <w:rPr>
          <w:rFonts w:ascii="Arial" w:hAnsi="Arial"/>
          <w:sz w:val="22"/>
          <w:lang w:val="en-GB"/>
        </w:rPr>
        <w:t>Spearman</w:t>
      </w:r>
      <w:r w:rsidRPr="00FC69E0">
        <w:rPr>
          <w:rFonts w:ascii="Arial" w:hAnsi="Arial"/>
          <w:sz w:val="22"/>
          <w:lang w:val="en-GB"/>
        </w:rPr>
        <w:t xml:space="preserve"> </w:t>
      </w:r>
      <w:r w:rsidRPr="00FC69E0">
        <w:rPr>
          <w:rFonts w:ascii="Arial" w:hAnsi="Arial"/>
          <w:sz w:val="22"/>
          <w:lang w:val="en-GB"/>
        </w:rPr>
        <w:sym w:font="Symbol" w:char="F072"/>
      </w:r>
      <w:r w:rsidRPr="00FC69E0">
        <w:rPr>
          <w:rFonts w:ascii="Arial" w:hAnsi="Arial"/>
          <w:sz w:val="22"/>
          <w:lang w:val="en-GB"/>
        </w:rPr>
        <w:t>&gt;0.</w:t>
      </w:r>
      <w:r w:rsidR="005344E5" w:rsidRPr="00FC69E0">
        <w:rPr>
          <w:rFonts w:ascii="Arial" w:hAnsi="Arial"/>
          <w:sz w:val="22"/>
          <w:lang w:val="en-GB"/>
        </w:rPr>
        <w:t>6</w:t>
      </w:r>
      <w:r w:rsidRPr="00FC69E0">
        <w:rPr>
          <w:rFonts w:ascii="Arial" w:hAnsi="Arial"/>
          <w:sz w:val="22"/>
          <w:lang w:val="en-GB"/>
        </w:rPr>
        <w:t xml:space="preserve">3, </w:t>
      </w:r>
      <w:r w:rsidR="0071428F">
        <w:rPr>
          <w:rFonts w:ascii="Arial" w:hAnsi="Arial"/>
          <w:sz w:val="22"/>
          <w:lang w:val="en-GB"/>
        </w:rPr>
        <w:t>P</w:t>
      </w:r>
      <w:r w:rsidR="008034A6">
        <w:rPr>
          <w:rFonts w:ascii="Arial" w:hAnsi="Arial"/>
          <w:sz w:val="22"/>
          <w:lang w:val="en-GB"/>
        </w:rPr>
        <w:t>&lt;</w:t>
      </w:r>
      <w:r w:rsidRPr="00FC69E0">
        <w:rPr>
          <w:rFonts w:ascii="Arial" w:hAnsi="Arial"/>
          <w:sz w:val="22"/>
          <w:lang w:val="en-GB"/>
        </w:rPr>
        <w:t>0.0</w:t>
      </w:r>
      <w:r w:rsidR="00DA76CA" w:rsidRPr="00FC69E0">
        <w:rPr>
          <w:rFonts w:ascii="Arial" w:hAnsi="Arial"/>
          <w:sz w:val="22"/>
          <w:lang w:val="en-GB"/>
        </w:rPr>
        <w:t>1</w:t>
      </w:r>
      <w:r w:rsidR="008034A6">
        <w:rPr>
          <w:rFonts w:ascii="Arial" w:hAnsi="Arial"/>
          <w:sz w:val="22"/>
          <w:lang w:val="en-GB"/>
        </w:rPr>
        <w:t>8</w:t>
      </w:r>
      <w:r w:rsidRPr="00FC69E0">
        <w:rPr>
          <w:rFonts w:ascii="Arial" w:hAnsi="Arial"/>
          <w:sz w:val="22"/>
          <w:lang w:val="en-GB"/>
        </w:rPr>
        <w:t>)</w:t>
      </w:r>
      <w:r w:rsidR="00FF68A7" w:rsidRPr="00FC69E0">
        <w:rPr>
          <w:rFonts w:ascii="Arial" w:hAnsi="Arial"/>
          <w:sz w:val="22"/>
          <w:lang w:val="en-GB"/>
        </w:rPr>
        <w:t>;</w:t>
      </w:r>
      <w:r w:rsidRPr="00FC69E0">
        <w:rPr>
          <w:rFonts w:ascii="Arial" w:hAnsi="Arial"/>
          <w:sz w:val="22"/>
          <w:lang w:val="en-GB"/>
        </w:rPr>
        <w:t xml:space="preserve"> EAT was </w:t>
      </w:r>
      <w:r w:rsidR="005344E5" w:rsidRPr="00FC69E0">
        <w:rPr>
          <w:rFonts w:ascii="Arial" w:hAnsi="Arial"/>
          <w:sz w:val="22"/>
          <w:lang w:val="en-GB"/>
        </w:rPr>
        <w:t>positively</w:t>
      </w:r>
      <w:r w:rsidRPr="00FC69E0">
        <w:rPr>
          <w:rFonts w:ascii="Arial" w:hAnsi="Arial"/>
          <w:sz w:val="22"/>
          <w:lang w:val="en-GB"/>
        </w:rPr>
        <w:t xml:space="preserve"> </w:t>
      </w:r>
      <w:r w:rsidR="00BF14D6">
        <w:rPr>
          <w:rFonts w:ascii="Arial" w:hAnsi="Arial"/>
          <w:sz w:val="22"/>
          <w:lang w:val="en-GB"/>
        </w:rPr>
        <w:t>cor</w:t>
      </w:r>
      <w:r w:rsidRPr="00FC69E0">
        <w:rPr>
          <w:rFonts w:ascii="Arial" w:hAnsi="Arial"/>
          <w:sz w:val="22"/>
          <w:lang w:val="en-GB"/>
        </w:rPr>
        <w:t xml:space="preserve">related to </w:t>
      </w:r>
      <w:r w:rsidR="005344E5" w:rsidRPr="00FC69E0">
        <w:rPr>
          <w:rFonts w:ascii="Arial" w:hAnsi="Arial"/>
          <w:sz w:val="22"/>
          <w:lang w:val="en-GB"/>
        </w:rPr>
        <w:t>visceral fat, age</w:t>
      </w:r>
      <w:r w:rsidR="009C76E0" w:rsidRPr="00FC69E0">
        <w:rPr>
          <w:rFonts w:ascii="Arial" w:hAnsi="Arial"/>
          <w:sz w:val="22"/>
          <w:lang w:val="en-GB"/>
        </w:rPr>
        <w:t xml:space="preserve">, body weight, and inversely to muscular-, fat free-, bone mass </w:t>
      </w:r>
      <w:r w:rsidRPr="00FC69E0">
        <w:rPr>
          <w:rFonts w:ascii="Arial" w:hAnsi="Arial"/>
          <w:sz w:val="22"/>
          <w:lang w:val="en-GB"/>
        </w:rPr>
        <w:t>(</w:t>
      </w:r>
      <w:r w:rsidR="00FF68A7" w:rsidRPr="00FC69E0">
        <w:rPr>
          <w:rFonts w:ascii="Arial" w:hAnsi="Arial"/>
          <w:sz w:val="22"/>
          <w:lang w:val="en-GB"/>
        </w:rPr>
        <w:t xml:space="preserve">Pearson </w:t>
      </w:r>
      <w:r w:rsidRPr="00FC69E0">
        <w:rPr>
          <w:rFonts w:ascii="Arial" w:hAnsi="Arial"/>
          <w:sz w:val="22"/>
          <w:lang w:val="en-GB"/>
        </w:rPr>
        <w:sym w:font="Symbol" w:char="F072"/>
      </w:r>
      <w:r w:rsidRPr="00FC69E0">
        <w:rPr>
          <w:rFonts w:ascii="Arial" w:hAnsi="Arial"/>
          <w:sz w:val="22"/>
          <w:lang w:val="en-GB"/>
        </w:rPr>
        <w:t>&lt;</w:t>
      </w:r>
      <w:r w:rsidR="009C76E0" w:rsidRPr="00FC69E0">
        <w:rPr>
          <w:rFonts w:ascii="Arial" w:hAnsi="Arial"/>
          <w:sz w:val="22"/>
          <w:lang w:val="en-GB"/>
        </w:rPr>
        <w:t>|</w:t>
      </w:r>
      <w:r w:rsidRPr="00FC69E0">
        <w:rPr>
          <w:rFonts w:ascii="Arial" w:hAnsi="Arial"/>
          <w:sz w:val="22"/>
          <w:lang w:val="en-GB"/>
        </w:rPr>
        <w:t>0.</w:t>
      </w:r>
      <w:r w:rsidR="00DD2FE0" w:rsidRPr="00FC69E0">
        <w:rPr>
          <w:rFonts w:ascii="Arial" w:hAnsi="Arial"/>
          <w:sz w:val="22"/>
          <w:lang w:val="en-GB"/>
        </w:rPr>
        <w:t>53</w:t>
      </w:r>
      <w:r w:rsidR="009C76E0" w:rsidRPr="00FC69E0">
        <w:rPr>
          <w:rFonts w:ascii="Arial" w:hAnsi="Arial"/>
          <w:sz w:val="22"/>
          <w:lang w:val="en-GB"/>
        </w:rPr>
        <w:t>|</w:t>
      </w:r>
      <w:r w:rsidRPr="00FC69E0">
        <w:rPr>
          <w:rFonts w:ascii="Arial" w:hAnsi="Arial"/>
          <w:sz w:val="22"/>
          <w:lang w:val="en-GB"/>
        </w:rPr>
        <w:t xml:space="preserve">, </w:t>
      </w:r>
      <w:r w:rsidR="0071428F">
        <w:rPr>
          <w:rFonts w:ascii="Arial" w:hAnsi="Arial"/>
          <w:sz w:val="22"/>
          <w:lang w:val="en-GB"/>
        </w:rPr>
        <w:t>P</w:t>
      </w:r>
      <w:r w:rsidRPr="00FC69E0">
        <w:rPr>
          <w:rFonts w:ascii="Arial" w:hAnsi="Arial"/>
          <w:sz w:val="22"/>
          <w:lang w:val="en-GB"/>
        </w:rPr>
        <w:t>&lt;0.0</w:t>
      </w:r>
      <w:r w:rsidR="008034A6">
        <w:rPr>
          <w:rFonts w:ascii="Arial" w:hAnsi="Arial"/>
          <w:sz w:val="22"/>
          <w:lang w:val="en-GB"/>
        </w:rPr>
        <w:t>39</w:t>
      </w:r>
      <w:r w:rsidRPr="00FC69E0">
        <w:rPr>
          <w:rFonts w:ascii="Arial" w:hAnsi="Arial"/>
          <w:sz w:val="22"/>
          <w:lang w:val="en-GB"/>
        </w:rPr>
        <w:t xml:space="preserve">). </w:t>
      </w:r>
      <w:r w:rsidR="009C76E0" w:rsidRPr="00FC69E0">
        <w:rPr>
          <w:rFonts w:ascii="Arial" w:hAnsi="Arial"/>
          <w:sz w:val="22"/>
          <w:lang w:val="en-GB"/>
        </w:rPr>
        <w:t>In all subjects</w:t>
      </w:r>
      <w:r w:rsidR="00DA76CA" w:rsidRPr="00FC69E0">
        <w:rPr>
          <w:rFonts w:ascii="Arial" w:hAnsi="Arial"/>
          <w:sz w:val="22"/>
          <w:lang w:val="en-GB"/>
        </w:rPr>
        <w:t>, the main lipid peaks correlated with metabolic parameters.</w:t>
      </w:r>
    </w:p>
    <w:p w:rsidR="0014188C" w:rsidRPr="00FC69E0" w:rsidRDefault="00967015" w:rsidP="0085109A">
      <w:pPr>
        <w:spacing w:line="360" w:lineRule="auto"/>
        <w:jc w:val="both"/>
        <w:rPr>
          <w:rFonts w:ascii="Arial" w:hAnsi="Arial"/>
          <w:sz w:val="22"/>
          <w:lang w:val="en-GB"/>
        </w:rPr>
      </w:pPr>
      <w:r w:rsidRPr="00FC69E0">
        <w:rPr>
          <w:rFonts w:ascii="Arial" w:hAnsi="Arial"/>
          <w:sz w:val="22"/>
          <w:vertAlign w:val="superscript"/>
          <w:lang w:val="en-GB"/>
        </w:rPr>
        <w:t>1</w:t>
      </w:r>
      <w:r w:rsidRPr="00FC69E0">
        <w:rPr>
          <w:rFonts w:ascii="Arial" w:hAnsi="Arial"/>
          <w:sz w:val="22"/>
          <w:lang w:val="en-GB"/>
        </w:rPr>
        <w:t>H-MRS allowed to measure lipid peaks in different adipose compartments with cardiometabolic relevance. SEP</w:t>
      </w:r>
      <w:r w:rsidR="00AA0C52" w:rsidRPr="00FC69E0">
        <w:rPr>
          <w:rFonts w:ascii="Arial" w:hAnsi="Arial"/>
          <w:sz w:val="22"/>
          <w:lang w:val="en-GB"/>
        </w:rPr>
        <w:t xml:space="preserve"> resulted a</w:t>
      </w:r>
      <w:r w:rsidR="00CB1AC0">
        <w:rPr>
          <w:rFonts w:ascii="Arial" w:hAnsi="Arial"/>
          <w:sz w:val="22"/>
          <w:lang w:val="en-GB"/>
        </w:rPr>
        <w:t xml:space="preserve"> </w:t>
      </w:r>
      <w:r w:rsidRPr="00FC69E0">
        <w:rPr>
          <w:rFonts w:ascii="Arial" w:hAnsi="Arial"/>
          <w:sz w:val="22"/>
          <w:lang w:val="en-GB"/>
        </w:rPr>
        <w:t xml:space="preserve">myocardial site </w:t>
      </w:r>
      <w:r w:rsidR="00AA0C52" w:rsidRPr="00FC69E0">
        <w:rPr>
          <w:rFonts w:ascii="Arial" w:hAnsi="Arial"/>
          <w:sz w:val="22"/>
          <w:lang w:val="en-GB"/>
        </w:rPr>
        <w:t xml:space="preserve">associated </w:t>
      </w:r>
      <w:r w:rsidRPr="00FC69E0">
        <w:rPr>
          <w:rFonts w:ascii="Arial" w:hAnsi="Arial"/>
          <w:sz w:val="22"/>
          <w:lang w:val="en-GB"/>
        </w:rPr>
        <w:t>with biomarkers</w:t>
      </w:r>
      <w:r w:rsidR="00AA0C52" w:rsidRPr="00FC69E0">
        <w:rPr>
          <w:rFonts w:ascii="Arial" w:hAnsi="Arial"/>
          <w:sz w:val="22"/>
          <w:lang w:val="en-GB"/>
        </w:rPr>
        <w:t xml:space="preserve"> of</w:t>
      </w:r>
      <w:r w:rsidRPr="00FC69E0">
        <w:rPr>
          <w:rFonts w:ascii="Arial" w:hAnsi="Arial"/>
          <w:sz w:val="22"/>
          <w:lang w:val="en-GB"/>
        </w:rPr>
        <w:t xml:space="preserve"> secondary heart events in</w:t>
      </w:r>
      <w:r w:rsidR="00136F24" w:rsidRPr="00FC69E0">
        <w:rPr>
          <w:rFonts w:ascii="Arial" w:hAnsi="Arial"/>
          <w:sz w:val="22"/>
          <w:lang w:val="en-GB"/>
        </w:rPr>
        <w:t xml:space="preserve"> pre/diabetic</w:t>
      </w:r>
      <w:r w:rsidRPr="00FC69E0">
        <w:rPr>
          <w:rFonts w:ascii="Arial" w:hAnsi="Arial"/>
          <w:sz w:val="22"/>
          <w:lang w:val="en-GB"/>
        </w:rPr>
        <w:t xml:space="preserve"> patients </w:t>
      </w:r>
      <w:r w:rsidR="00A63B52" w:rsidRPr="00FC69E0">
        <w:rPr>
          <w:rFonts w:ascii="Arial" w:hAnsi="Arial"/>
          <w:sz w:val="22"/>
          <w:lang w:val="en-GB"/>
        </w:rPr>
        <w:t>at high</w:t>
      </w:r>
      <w:r w:rsidR="00240DC3">
        <w:rPr>
          <w:rFonts w:ascii="Arial" w:hAnsi="Arial"/>
          <w:sz w:val="22"/>
          <w:lang w:val="en-GB"/>
        </w:rPr>
        <w:t>er</w:t>
      </w:r>
      <w:r w:rsidR="00A63B52" w:rsidRPr="00FC69E0">
        <w:rPr>
          <w:rFonts w:ascii="Arial" w:hAnsi="Arial"/>
          <w:sz w:val="22"/>
          <w:lang w:val="en-GB"/>
        </w:rPr>
        <w:t xml:space="preserve"> risk of </w:t>
      </w:r>
      <w:r w:rsidR="00DD2FE0" w:rsidRPr="00FC69E0">
        <w:rPr>
          <w:rFonts w:ascii="Arial" w:hAnsi="Arial"/>
          <w:sz w:val="22"/>
          <w:lang w:val="en-GB"/>
        </w:rPr>
        <w:t xml:space="preserve">CV </w:t>
      </w:r>
      <w:r w:rsidRPr="00FC69E0">
        <w:rPr>
          <w:rFonts w:ascii="Arial" w:hAnsi="Arial"/>
          <w:sz w:val="22"/>
          <w:lang w:val="en-GB"/>
        </w:rPr>
        <w:t>episode</w:t>
      </w:r>
      <w:r w:rsidR="00DD2FE0" w:rsidRPr="00FC69E0">
        <w:rPr>
          <w:rFonts w:ascii="Arial" w:hAnsi="Arial"/>
          <w:sz w:val="22"/>
          <w:lang w:val="en-GB"/>
        </w:rPr>
        <w:t>s.</w:t>
      </w:r>
      <w:r w:rsidR="004020B5" w:rsidRPr="00FC69E0">
        <w:rPr>
          <w:rFonts w:ascii="Arial" w:hAnsi="Arial"/>
          <w:sz w:val="22"/>
          <w:lang w:val="en-GB"/>
        </w:rPr>
        <w:t xml:space="preserve"> </w:t>
      </w:r>
      <w:r w:rsidR="00D41E25" w:rsidRPr="00FC69E0">
        <w:rPr>
          <w:rFonts w:ascii="Arial" w:hAnsi="Arial"/>
          <w:sz w:val="22"/>
          <w:lang w:val="en-GB"/>
        </w:rPr>
        <w:t>H</w:t>
      </w:r>
      <w:r w:rsidR="004020B5" w:rsidRPr="00FC69E0">
        <w:rPr>
          <w:rFonts w:ascii="Arial" w:hAnsi="Arial"/>
          <w:sz w:val="22"/>
          <w:lang w:val="en-GB"/>
        </w:rPr>
        <w:t xml:space="preserve">igh SEP fat </w:t>
      </w:r>
      <w:r w:rsidR="00AA0C52" w:rsidRPr="00FC69E0">
        <w:rPr>
          <w:rFonts w:ascii="Arial" w:hAnsi="Arial"/>
          <w:sz w:val="22"/>
          <w:lang w:val="en-GB"/>
        </w:rPr>
        <w:t>may</w:t>
      </w:r>
      <w:r w:rsidR="004020B5" w:rsidRPr="00FC69E0">
        <w:rPr>
          <w:rFonts w:ascii="Arial" w:hAnsi="Arial"/>
          <w:sz w:val="22"/>
          <w:lang w:val="en-GB"/>
        </w:rPr>
        <w:t xml:space="preserve"> be proposed as a marker of future CV events.</w:t>
      </w:r>
    </w:p>
    <w:bookmarkEnd w:id="0"/>
    <w:p w:rsidR="00DD2FE0" w:rsidRDefault="00DD2FE0" w:rsidP="0085109A">
      <w:pPr>
        <w:rPr>
          <w:rFonts w:ascii="Arial" w:hAnsi="Arial"/>
          <w:sz w:val="22"/>
          <w:lang w:val="en-GB"/>
        </w:rPr>
      </w:pPr>
    </w:p>
    <w:p w:rsidR="00DD2FE0" w:rsidRDefault="00DD2FE0" w:rsidP="0085109A">
      <w:pPr>
        <w:rPr>
          <w:rFonts w:ascii="Arial" w:eastAsia="Times New Roman" w:hAnsi="Arial" w:cs="Arial"/>
          <w:b/>
          <w:sz w:val="22"/>
          <w:szCs w:val="22"/>
          <w:lang w:val="en-US" w:eastAsia="it-IT"/>
        </w:rPr>
      </w:pPr>
    </w:p>
    <w:p w:rsidR="00DD2FE0" w:rsidRDefault="00DD2FE0" w:rsidP="0085109A">
      <w:pPr>
        <w:rPr>
          <w:rFonts w:ascii="Arial" w:eastAsia="Times New Roman" w:hAnsi="Arial" w:cs="Arial"/>
          <w:b/>
          <w:sz w:val="22"/>
          <w:szCs w:val="22"/>
          <w:lang w:val="en-US" w:eastAsia="it-IT"/>
        </w:rPr>
      </w:pPr>
    </w:p>
    <w:p w:rsidR="00DD2FE0" w:rsidRDefault="00DD2FE0" w:rsidP="0085109A">
      <w:pPr>
        <w:rPr>
          <w:rFonts w:ascii="Arial" w:eastAsia="Times New Roman" w:hAnsi="Arial" w:cs="Arial"/>
          <w:b/>
          <w:sz w:val="22"/>
          <w:szCs w:val="22"/>
          <w:lang w:val="en-US" w:eastAsia="it-IT"/>
        </w:rPr>
      </w:pPr>
    </w:p>
    <w:p w:rsidR="00DD2FE0" w:rsidRDefault="00DD2FE0" w:rsidP="0085109A">
      <w:pPr>
        <w:rPr>
          <w:rFonts w:ascii="Arial" w:eastAsia="Times New Roman" w:hAnsi="Arial" w:cs="Arial"/>
          <w:b/>
          <w:sz w:val="22"/>
          <w:szCs w:val="22"/>
          <w:lang w:val="en-US" w:eastAsia="it-IT"/>
        </w:rPr>
      </w:pPr>
    </w:p>
    <w:p w:rsidR="00DD2FE0" w:rsidRDefault="00DD2FE0" w:rsidP="0085109A">
      <w:pPr>
        <w:rPr>
          <w:rFonts w:ascii="Arial" w:eastAsia="Times New Roman" w:hAnsi="Arial" w:cs="Arial"/>
          <w:b/>
          <w:sz w:val="22"/>
          <w:szCs w:val="22"/>
          <w:lang w:val="en-US" w:eastAsia="it-IT"/>
        </w:rPr>
      </w:pPr>
    </w:p>
    <w:p w:rsidR="00DD2FE0" w:rsidRDefault="00DD2FE0" w:rsidP="0085109A">
      <w:pPr>
        <w:rPr>
          <w:rFonts w:ascii="Arial" w:eastAsia="Times New Roman" w:hAnsi="Arial" w:cs="Arial"/>
          <w:b/>
          <w:sz w:val="22"/>
          <w:szCs w:val="22"/>
          <w:lang w:val="en-US" w:eastAsia="it-IT"/>
        </w:rPr>
      </w:pPr>
    </w:p>
    <w:p w:rsidR="00DD2FE0" w:rsidRDefault="00DD2FE0" w:rsidP="0085109A">
      <w:pPr>
        <w:rPr>
          <w:rFonts w:ascii="Arial" w:eastAsia="Times New Roman" w:hAnsi="Arial" w:cs="Arial"/>
          <w:b/>
          <w:sz w:val="22"/>
          <w:szCs w:val="22"/>
          <w:lang w:val="en-US" w:eastAsia="it-IT"/>
        </w:rPr>
      </w:pPr>
    </w:p>
    <w:p w:rsidR="00DD2FE0" w:rsidRDefault="00DD2FE0" w:rsidP="0085109A">
      <w:pPr>
        <w:rPr>
          <w:rFonts w:ascii="Arial" w:eastAsia="Times New Roman" w:hAnsi="Arial" w:cs="Arial"/>
          <w:b/>
          <w:sz w:val="22"/>
          <w:szCs w:val="22"/>
          <w:lang w:val="en-US" w:eastAsia="it-IT"/>
        </w:rPr>
      </w:pPr>
    </w:p>
    <w:p w:rsidR="00DD2FE0" w:rsidRDefault="00DD2FE0" w:rsidP="0085109A">
      <w:pPr>
        <w:rPr>
          <w:rFonts w:ascii="Arial" w:eastAsia="Times New Roman" w:hAnsi="Arial" w:cs="Arial"/>
          <w:b/>
          <w:sz w:val="22"/>
          <w:szCs w:val="22"/>
          <w:lang w:val="en-US" w:eastAsia="it-IT"/>
        </w:rPr>
      </w:pPr>
    </w:p>
    <w:p w:rsidR="00DD2FE0" w:rsidRDefault="00DD2FE0" w:rsidP="0085109A">
      <w:pPr>
        <w:rPr>
          <w:rFonts w:ascii="Arial" w:eastAsia="Times New Roman" w:hAnsi="Arial" w:cs="Arial"/>
          <w:b/>
          <w:sz w:val="22"/>
          <w:szCs w:val="22"/>
          <w:lang w:val="en-US" w:eastAsia="it-IT"/>
        </w:rPr>
      </w:pPr>
    </w:p>
    <w:p w:rsidR="00DD2FE0" w:rsidRDefault="00DD2FE0" w:rsidP="0085109A">
      <w:pPr>
        <w:rPr>
          <w:rFonts w:ascii="Arial" w:eastAsia="Times New Roman" w:hAnsi="Arial" w:cs="Arial"/>
          <w:b/>
          <w:sz w:val="22"/>
          <w:szCs w:val="22"/>
          <w:lang w:val="en-US" w:eastAsia="it-IT"/>
        </w:rPr>
      </w:pPr>
    </w:p>
    <w:p w:rsidR="00DD2FE0" w:rsidRDefault="00DD2FE0" w:rsidP="0085109A">
      <w:pPr>
        <w:rPr>
          <w:rFonts w:ascii="Arial" w:eastAsia="Times New Roman" w:hAnsi="Arial" w:cs="Arial"/>
          <w:b/>
          <w:sz w:val="22"/>
          <w:szCs w:val="22"/>
          <w:lang w:val="en-US" w:eastAsia="it-IT"/>
        </w:rPr>
      </w:pPr>
    </w:p>
    <w:p w:rsidR="0085109A" w:rsidRPr="003A2E45" w:rsidRDefault="0085109A" w:rsidP="0085109A">
      <w:pPr>
        <w:rPr>
          <w:rFonts w:ascii="Arial" w:eastAsia="Times New Roman" w:hAnsi="Arial" w:cs="Arial"/>
          <w:sz w:val="22"/>
          <w:szCs w:val="22"/>
          <w:lang w:val="en-US" w:eastAsia="it-IT"/>
        </w:rPr>
      </w:pPr>
      <w:r w:rsidRPr="00047903">
        <w:rPr>
          <w:rFonts w:ascii="Arial" w:eastAsia="Times New Roman" w:hAnsi="Arial" w:cs="Arial"/>
          <w:b/>
          <w:sz w:val="22"/>
          <w:szCs w:val="22"/>
          <w:lang w:val="en-US" w:eastAsia="it-IT"/>
        </w:rPr>
        <w:lastRenderedPageBreak/>
        <w:t>Table.</w:t>
      </w:r>
      <w:r w:rsidRPr="003A2E45">
        <w:rPr>
          <w:rFonts w:ascii="Arial" w:eastAsia="Times New Roman" w:hAnsi="Arial" w:cs="Arial"/>
          <w:sz w:val="22"/>
          <w:szCs w:val="22"/>
          <w:lang w:val="en-US" w:eastAsia="it-IT"/>
        </w:rPr>
        <w:t xml:space="preserve"> Integral of the main lipid peaks in the four analyzed compartments</w:t>
      </w:r>
      <w:r w:rsidR="00F53408">
        <w:rPr>
          <w:rFonts w:ascii="Arial" w:eastAsia="Times New Roman" w:hAnsi="Arial" w:cs="Arial"/>
          <w:sz w:val="22"/>
          <w:szCs w:val="22"/>
          <w:lang w:val="en-US" w:eastAsia="it-IT"/>
        </w:rPr>
        <w:t xml:space="preserve"> in </w:t>
      </w:r>
      <w:r w:rsidR="00CB1AC0">
        <w:rPr>
          <w:rFonts w:ascii="Arial" w:eastAsia="Times New Roman" w:hAnsi="Arial" w:cs="Arial"/>
          <w:sz w:val="22"/>
          <w:szCs w:val="22"/>
          <w:lang w:val="en-US" w:eastAsia="it-IT"/>
        </w:rPr>
        <w:t>non-hyperglycemic (</w:t>
      </w:r>
      <w:r w:rsidR="00F00545">
        <w:rPr>
          <w:rFonts w:ascii="Arial" w:eastAsia="Times New Roman" w:hAnsi="Arial" w:cs="Arial"/>
          <w:sz w:val="22"/>
          <w:szCs w:val="22"/>
          <w:lang w:val="en-US" w:eastAsia="it-IT"/>
        </w:rPr>
        <w:t>N</w:t>
      </w:r>
      <w:r w:rsidR="00CB1AC0">
        <w:rPr>
          <w:rFonts w:ascii="Arial" w:eastAsia="Times New Roman" w:hAnsi="Arial" w:cs="Arial"/>
          <w:sz w:val="22"/>
          <w:szCs w:val="22"/>
          <w:lang w:val="en-US" w:eastAsia="it-IT"/>
        </w:rPr>
        <w:t xml:space="preserve">on-HG) and </w:t>
      </w:r>
      <w:r w:rsidR="00AA0C52">
        <w:rPr>
          <w:rFonts w:ascii="Arial" w:eastAsia="Times New Roman" w:hAnsi="Arial" w:cs="Arial"/>
          <w:sz w:val="22"/>
          <w:szCs w:val="22"/>
          <w:lang w:val="en-US" w:eastAsia="it-IT"/>
        </w:rPr>
        <w:t>hyperglycemic</w:t>
      </w:r>
      <w:r w:rsidR="00F53408">
        <w:rPr>
          <w:rFonts w:ascii="Arial" w:eastAsia="Times New Roman" w:hAnsi="Arial" w:cs="Arial"/>
          <w:sz w:val="22"/>
          <w:szCs w:val="22"/>
          <w:lang w:val="en-US" w:eastAsia="it-IT"/>
        </w:rPr>
        <w:t xml:space="preserve"> </w:t>
      </w:r>
      <w:r w:rsidR="00CB1AC0">
        <w:rPr>
          <w:rFonts w:ascii="Arial" w:eastAsia="Times New Roman" w:hAnsi="Arial" w:cs="Arial"/>
          <w:sz w:val="22"/>
          <w:szCs w:val="22"/>
          <w:lang w:val="en-US" w:eastAsia="it-IT"/>
        </w:rPr>
        <w:t xml:space="preserve">(HG) </w:t>
      </w:r>
      <w:r w:rsidR="00B600D2">
        <w:rPr>
          <w:rFonts w:ascii="Arial" w:eastAsia="Times New Roman" w:hAnsi="Arial" w:cs="Arial"/>
          <w:sz w:val="22"/>
          <w:szCs w:val="22"/>
          <w:lang w:val="en-US" w:eastAsia="it-IT"/>
        </w:rPr>
        <w:t xml:space="preserve">patients </w:t>
      </w:r>
      <w:r w:rsidR="00CB1AC0">
        <w:rPr>
          <w:rFonts w:ascii="Arial" w:eastAsia="Times New Roman" w:hAnsi="Arial" w:cs="Arial"/>
          <w:sz w:val="22"/>
          <w:szCs w:val="22"/>
          <w:lang w:val="en-US" w:eastAsia="it-IT"/>
        </w:rPr>
        <w:t>suspected for being affected with CV disease</w:t>
      </w:r>
    </w:p>
    <w:p w:rsidR="0085109A" w:rsidRPr="003A2E45" w:rsidRDefault="0085109A" w:rsidP="0085109A">
      <w:pPr>
        <w:rPr>
          <w:rFonts w:eastAsia="Times New Roman"/>
          <w:lang w:val="en-US" w:eastAsia="it-IT"/>
        </w:rPr>
      </w:pPr>
    </w:p>
    <w:tbl>
      <w:tblPr>
        <w:tblW w:w="9170" w:type="dxa"/>
        <w:tblInd w:w="-30" w:type="dxa"/>
        <w:tblLayout w:type="fixed"/>
        <w:tblCellMar>
          <w:left w:w="70" w:type="dxa"/>
          <w:right w:w="70" w:type="dxa"/>
        </w:tblCellMar>
        <w:tblLook w:val="0000" w:firstRow="0" w:lastRow="0" w:firstColumn="0" w:lastColumn="0" w:noHBand="0" w:noVBand="0"/>
      </w:tblPr>
      <w:tblGrid>
        <w:gridCol w:w="1023"/>
        <w:gridCol w:w="1018"/>
        <w:gridCol w:w="1018"/>
        <w:gridCol w:w="1019"/>
        <w:gridCol w:w="1018"/>
        <w:gridCol w:w="1018"/>
        <w:gridCol w:w="1019"/>
        <w:gridCol w:w="1018"/>
        <w:gridCol w:w="1019"/>
      </w:tblGrid>
      <w:tr w:rsidR="00F10AA9" w:rsidTr="00F10AA9">
        <w:trPr>
          <w:trHeight w:val="300"/>
        </w:trPr>
        <w:tc>
          <w:tcPr>
            <w:tcW w:w="1023" w:type="dxa"/>
            <w:tcBorders>
              <w:top w:val="single" w:sz="6" w:space="0" w:color="auto"/>
              <w:left w:val="nil"/>
              <w:right w:val="nil"/>
            </w:tcBorders>
          </w:tcPr>
          <w:p w:rsidR="00F10AA9" w:rsidRPr="003A2E45" w:rsidRDefault="00F10AA9" w:rsidP="00F10AA9">
            <w:pPr>
              <w:autoSpaceDE w:val="0"/>
              <w:autoSpaceDN w:val="0"/>
              <w:adjustRightInd w:val="0"/>
              <w:spacing w:before="120" w:after="120"/>
              <w:jc w:val="center"/>
              <w:rPr>
                <w:rFonts w:ascii="Arial" w:eastAsiaTheme="minorEastAsia" w:hAnsi="Arial" w:cs="Arial"/>
                <w:color w:val="000000"/>
                <w:sz w:val="20"/>
                <w:szCs w:val="20"/>
                <w:lang w:val="en-US" w:eastAsia="it-IT"/>
              </w:rPr>
            </w:pPr>
          </w:p>
        </w:tc>
        <w:tc>
          <w:tcPr>
            <w:tcW w:w="2036" w:type="dxa"/>
            <w:gridSpan w:val="2"/>
            <w:tcBorders>
              <w:top w:val="single" w:sz="6" w:space="0" w:color="auto"/>
              <w:left w:val="nil"/>
              <w:right w:val="nil"/>
            </w:tcBorders>
          </w:tcPr>
          <w:p w:rsidR="00F10AA9" w:rsidRPr="00047903" w:rsidRDefault="00CB1AC0" w:rsidP="00F10AA9">
            <w:pPr>
              <w:autoSpaceDE w:val="0"/>
              <w:autoSpaceDN w:val="0"/>
              <w:adjustRightInd w:val="0"/>
              <w:spacing w:before="120" w:after="120"/>
              <w:jc w:val="center"/>
              <w:rPr>
                <w:rFonts w:ascii="Arial" w:eastAsiaTheme="minorEastAsia" w:hAnsi="Arial" w:cs="Arial"/>
                <w:color w:val="000000"/>
                <w:sz w:val="22"/>
                <w:szCs w:val="22"/>
                <w:lang w:eastAsia="it-IT"/>
              </w:rPr>
            </w:pPr>
            <w:r>
              <w:rPr>
                <w:rFonts w:ascii="Arial" w:eastAsiaTheme="minorEastAsia" w:hAnsi="Arial" w:cs="Arial"/>
                <w:color w:val="000000"/>
                <w:sz w:val="22"/>
                <w:szCs w:val="22"/>
                <w:lang w:eastAsia="it-IT"/>
              </w:rPr>
              <w:t>0.9-</w:t>
            </w:r>
            <w:r w:rsidR="00F10AA9" w:rsidRPr="00047903">
              <w:rPr>
                <w:rFonts w:ascii="Arial" w:eastAsiaTheme="minorEastAsia" w:hAnsi="Arial" w:cs="Arial"/>
                <w:color w:val="000000"/>
                <w:sz w:val="22"/>
                <w:szCs w:val="22"/>
                <w:lang w:eastAsia="it-IT"/>
              </w:rPr>
              <w:t>ppm</w:t>
            </w:r>
            <w:r>
              <w:rPr>
                <w:rFonts w:ascii="Arial" w:eastAsiaTheme="minorEastAsia" w:hAnsi="Arial" w:cs="Arial"/>
                <w:color w:val="000000"/>
                <w:sz w:val="22"/>
                <w:szCs w:val="22"/>
                <w:lang w:eastAsia="it-IT"/>
              </w:rPr>
              <w:t xml:space="preserve"> </w:t>
            </w:r>
            <w:proofErr w:type="spellStart"/>
            <w:r>
              <w:rPr>
                <w:rFonts w:ascii="Arial" w:eastAsiaTheme="minorEastAsia" w:hAnsi="Arial" w:cs="Arial"/>
                <w:color w:val="000000"/>
                <w:sz w:val="22"/>
                <w:szCs w:val="22"/>
                <w:lang w:eastAsia="it-IT"/>
              </w:rPr>
              <w:t>Peak</w:t>
            </w:r>
            <w:proofErr w:type="spellEnd"/>
          </w:p>
        </w:tc>
        <w:tc>
          <w:tcPr>
            <w:tcW w:w="2037" w:type="dxa"/>
            <w:gridSpan w:val="2"/>
            <w:tcBorders>
              <w:top w:val="single" w:sz="6" w:space="0" w:color="auto"/>
              <w:left w:val="nil"/>
              <w:right w:val="nil"/>
            </w:tcBorders>
          </w:tcPr>
          <w:p w:rsidR="00F10AA9" w:rsidRPr="00047903" w:rsidRDefault="00CB1AC0" w:rsidP="00F10AA9">
            <w:pPr>
              <w:autoSpaceDE w:val="0"/>
              <w:autoSpaceDN w:val="0"/>
              <w:adjustRightInd w:val="0"/>
              <w:spacing w:before="120" w:after="120"/>
              <w:jc w:val="center"/>
              <w:rPr>
                <w:rFonts w:ascii="Arial" w:eastAsiaTheme="minorEastAsia" w:hAnsi="Arial" w:cs="Arial"/>
                <w:color w:val="000000"/>
                <w:sz w:val="22"/>
                <w:szCs w:val="22"/>
                <w:lang w:eastAsia="it-IT"/>
              </w:rPr>
            </w:pPr>
            <w:r>
              <w:rPr>
                <w:rFonts w:ascii="Arial" w:eastAsiaTheme="minorEastAsia" w:hAnsi="Arial" w:cs="Arial"/>
                <w:color w:val="000000"/>
                <w:sz w:val="22"/>
                <w:szCs w:val="22"/>
                <w:lang w:eastAsia="it-IT"/>
              </w:rPr>
              <w:t>1.3-</w:t>
            </w:r>
            <w:r w:rsidR="00F10AA9" w:rsidRPr="00047903">
              <w:rPr>
                <w:rFonts w:ascii="Arial" w:eastAsiaTheme="minorEastAsia" w:hAnsi="Arial" w:cs="Arial"/>
                <w:color w:val="000000"/>
                <w:sz w:val="22"/>
                <w:szCs w:val="22"/>
                <w:lang w:eastAsia="it-IT"/>
              </w:rPr>
              <w:t>ppm</w:t>
            </w:r>
            <w:r>
              <w:rPr>
                <w:rFonts w:ascii="Arial" w:eastAsiaTheme="minorEastAsia" w:hAnsi="Arial" w:cs="Arial"/>
                <w:color w:val="000000"/>
                <w:sz w:val="22"/>
                <w:szCs w:val="22"/>
                <w:lang w:eastAsia="it-IT"/>
              </w:rPr>
              <w:t xml:space="preserve"> </w:t>
            </w:r>
            <w:proofErr w:type="spellStart"/>
            <w:r>
              <w:rPr>
                <w:rFonts w:ascii="Arial" w:eastAsiaTheme="minorEastAsia" w:hAnsi="Arial" w:cs="Arial"/>
                <w:color w:val="000000"/>
                <w:sz w:val="22"/>
                <w:szCs w:val="22"/>
                <w:lang w:eastAsia="it-IT"/>
              </w:rPr>
              <w:t>Peak</w:t>
            </w:r>
            <w:proofErr w:type="spellEnd"/>
          </w:p>
        </w:tc>
        <w:tc>
          <w:tcPr>
            <w:tcW w:w="2037" w:type="dxa"/>
            <w:gridSpan w:val="2"/>
            <w:tcBorders>
              <w:top w:val="single" w:sz="6" w:space="0" w:color="auto"/>
              <w:left w:val="nil"/>
              <w:right w:val="nil"/>
            </w:tcBorders>
          </w:tcPr>
          <w:p w:rsidR="00F10AA9" w:rsidRPr="00047903" w:rsidRDefault="00CB1AC0" w:rsidP="00F10AA9">
            <w:pPr>
              <w:autoSpaceDE w:val="0"/>
              <w:autoSpaceDN w:val="0"/>
              <w:adjustRightInd w:val="0"/>
              <w:spacing w:before="120" w:after="120"/>
              <w:jc w:val="center"/>
              <w:rPr>
                <w:rFonts w:ascii="Arial" w:eastAsiaTheme="minorEastAsia" w:hAnsi="Arial" w:cs="Arial"/>
                <w:color w:val="000000"/>
                <w:sz w:val="22"/>
                <w:szCs w:val="22"/>
                <w:lang w:eastAsia="it-IT"/>
              </w:rPr>
            </w:pPr>
            <w:r>
              <w:rPr>
                <w:rFonts w:ascii="Arial" w:eastAsiaTheme="minorEastAsia" w:hAnsi="Arial" w:cs="Arial"/>
                <w:color w:val="000000"/>
                <w:sz w:val="22"/>
                <w:szCs w:val="22"/>
                <w:lang w:eastAsia="it-IT"/>
              </w:rPr>
              <w:t>2.0-</w:t>
            </w:r>
            <w:r w:rsidR="00F10AA9" w:rsidRPr="00047903">
              <w:rPr>
                <w:rFonts w:ascii="Arial" w:eastAsiaTheme="minorEastAsia" w:hAnsi="Arial" w:cs="Arial"/>
                <w:color w:val="000000"/>
                <w:sz w:val="22"/>
                <w:szCs w:val="22"/>
                <w:lang w:eastAsia="it-IT"/>
              </w:rPr>
              <w:t>ppm</w:t>
            </w:r>
            <w:r>
              <w:rPr>
                <w:rFonts w:ascii="Arial" w:eastAsiaTheme="minorEastAsia" w:hAnsi="Arial" w:cs="Arial"/>
                <w:color w:val="000000"/>
                <w:sz w:val="22"/>
                <w:szCs w:val="22"/>
                <w:lang w:eastAsia="it-IT"/>
              </w:rPr>
              <w:t xml:space="preserve"> </w:t>
            </w:r>
            <w:proofErr w:type="spellStart"/>
            <w:r>
              <w:rPr>
                <w:rFonts w:ascii="Arial" w:eastAsiaTheme="minorEastAsia" w:hAnsi="Arial" w:cs="Arial"/>
                <w:color w:val="000000"/>
                <w:sz w:val="22"/>
                <w:szCs w:val="22"/>
                <w:lang w:eastAsia="it-IT"/>
              </w:rPr>
              <w:t>Peak</w:t>
            </w:r>
            <w:proofErr w:type="spellEnd"/>
          </w:p>
        </w:tc>
        <w:tc>
          <w:tcPr>
            <w:tcW w:w="2037" w:type="dxa"/>
            <w:gridSpan w:val="2"/>
            <w:tcBorders>
              <w:top w:val="single" w:sz="6" w:space="0" w:color="auto"/>
              <w:left w:val="nil"/>
              <w:right w:val="nil"/>
            </w:tcBorders>
          </w:tcPr>
          <w:p w:rsidR="00F10AA9" w:rsidRPr="00047903" w:rsidRDefault="00CB1AC0" w:rsidP="00F10AA9">
            <w:pPr>
              <w:autoSpaceDE w:val="0"/>
              <w:autoSpaceDN w:val="0"/>
              <w:adjustRightInd w:val="0"/>
              <w:spacing w:before="120" w:after="120"/>
              <w:jc w:val="center"/>
              <w:rPr>
                <w:rFonts w:ascii="Arial" w:eastAsiaTheme="minorEastAsia" w:hAnsi="Arial" w:cs="Arial"/>
                <w:color w:val="000000"/>
                <w:sz w:val="22"/>
                <w:szCs w:val="22"/>
                <w:lang w:eastAsia="it-IT"/>
              </w:rPr>
            </w:pPr>
            <w:r>
              <w:rPr>
                <w:rFonts w:ascii="Arial" w:eastAsiaTheme="minorEastAsia" w:hAnsi="Arial" w:cs="Arial"/>
                <w:color w:val="000000"/>
                <w:sz w:val="22"/>
                <w:szCs w:val="22"/>
                <w:lang w:eastAsia="it-IT"/>
              </w:rPr>
              <w:t>5.3-</w:t>
            </w:r>
            <w:r w:rsidR="00F10AA9" w:rsidRPr="00047903">
              <w:rPr>
                <w:rFonts w:ascii="Arial" w:eastAsiaTheme="minorEastAsia" w:hAnsi="Arial" w:cs="Arial"/>
                <w:color w:val="000000"/>
                <w:sz w:val="22"/>
                <w:szCs w:val="22"/>
                <w:lang w:eastAsia="it-IT"/>
              </w:rPr>
              <w:t>ppm</w:t>
            </w:r>
            <w:r w:rsidR="00932236">
              <w:rPr>
                <w:rFonts w:ascii="Arial" w:eastAsiaTheme="minorEastAsia" w:hAnsi="Arial" w:cs="Arial"/>
                <w:color w:val="000000"/>
                <w:sz w:val="22"/>
                <w:szCs w:val="22"/>
                <w:lang w:eastAsia="it-IT"/>
              </w:rPr>
              <w:t xml:space="preserve"> </w:t>
            </w:r>
            <w:proofErr w:type="spellStart"/>
            <w:r w:rsidR="00932236">
              <w:rPr>
                <w:rFonts w:ascii="Arial" w:eastAsiaTheme="minorEastAsia" w:hAnsi="Arial" w:cs="Arial"/>
                <w:color w:val="000000"/>
                <w:sz w:val="22"/>
                <w:szCs w:val="22"/>
                <w:lang w:eastAsia="it-IT"/>
              </w:rPr>
              <w:t>Pe</w:t>
            </w:r>
            <w:r>
              <w:rPr>
                <w:rFonts w:ascii="Arial" w:eastAsiaTheme="minorEastAsia" w:hAnsi="Arial" w:cs="Arial"/>
                <w:color w:val="000000"/>
                <w:sz w:val="22"/>
                <w:szCs w:val="22"/>
                <w:lang w:eastAsia="it-IT"/>
              </w:rPr>
              <w:t>ak</w:t>
            </w:r>
            <w:proofErr w:type="spellEnd"/>
          </w:p>
        </w:tc>
      </w:tr>
      <w:tr w:rsidR="00CB1AC0" w:rsidTr="00F10AA9">
        <w:trPr>
          <w:trHeight w:val="300"/>
        </w:trPr>
        <w:tc>
          <w:tcPr>
            <w:tcW w:w="1023" w:type="dxa"/>
            <w:tcBorders>
              <w:left w:val="nil"/>
              <w:bottom w:val="single" w:sz="4" w:space="0" w:color="auto"/>
              <w:right w:val="nil"/>
            </w:tcBorders>
          </w:tcPr>
          <w:p w:rsidR="00CB1AC0" w:rsidRPr="003A2E45" w:rsidRDefault="00CB1AC0" w:rsidP="00F10AA9">
            <w:pPr>
              <w:autoSpaceDE w:val="0"/>
              <w:autoSpaceDN w:val="0"/>
              <w:adjustRightInd w:val="0"/>
              <w:spacing w:before="120" w:after="120"/>
              <w:jc w:val="center"/>
              <w:rPr>
                <w:rFonts w:ascii="Arial" w:eastAsiaTheme="minorEastAsia" w:hAnsi="Arial" w:cs="Arial"/>
                <w:color w:val="000000"/>
                <w:sz w:val="20"/>
                <w:szCs w:val="20"/>
                <w:lang w:val="en-US" w:eastAsia="it-IT"/>
              </w:rPr>
            </w:pPr>
          </w:p>
        </w:tc>
        <w:tc>
          <w:tcPr>
            <w:tcW w:w="1018" w:type="dxa"/>
            <w:tcBorders>
              <w:left w:val="nil"/>
              <w:bottom w:val="single" w:sz="4" w:space="0" w:color="auto"/>
              <w:right w:val="nil"/>
            </w:tcBorders>
          </w:tcPr>
          <w:p w:rsidR="00CB1AC0" w:rsidRPr="00047903" w:rsidRDefault="00CB1AC0" w:rsidP="00F10AA9">
            <w:pPr>
              <w:autoSpaceDE w:val="0"/>
              <w:autoSpaceDN w:val="0"/>
              <w:adjustRightInd w:val="0"/>
              <w:spacing w:before="120" w:after="120"/>
              <w:jc w:val="center"/>
              <w:rPr>
                <w:rFonts w:ascii="Arial" w:eastAsiaTheme="minorEastAsia" w:hAnsi="Arial" w:cs="Arial"/>
                <w:color w:val="000000"/>
                <w:sz w:val="22"/>
                <w:szCs w:val="22"/>
                <w:lang w:eastAsia="it-IT"/>
              </w:rPr>
            </w:pPr>
            <w:r>
              <w:rPr>
                <w:rFonts w:ascii="Arial" w:eastAsiaTheme="minorEastAsia" w:hAnsi="Arial" w:cs="Arial"/>
                <w:color w:val="000000"/>
                <w:sz w:val="22"/>
                <w:szCs w:val="22"/>
                <w:lang w:eastAsia="it-IT"/>
              </w:rPr>
              <w:t>Non-HG</w:t>
            </w:r>
          </w:p>
        </w:tc>
        <w:tc>
          <w:tcPr>
            <w:tcW w:w="1018" w:type="dxa"/>
            <w:tcBorders>
              <w:left w:val="nil"/>
              <w:bottom w:val="single" w:sz="4" w:space="0" w:color="auto"/>
              <w:right w:val="nil"/>
            </w:tcBorders>
          </w:tcPr>
          <w:p w:rsidR="00CB1AC0" w:rsidRPr="00047903" w:rsidRDefault="00CB1AC0" w:rsidP="00F10AA9">
            <w:pPr>
              <w:autoSpaceDE w:val="0"/>
              <w:autoSpaceDN w:val="0"/>
              <w:adjustRightInd w:val="0"/>
              <w:spacing w:before="120" w:after="120"/>
              <w:jc w:val="center"/>
              <w:rPr>
                <w:rFonts w:ascii="Arial" w:eastAsiaTheme="minorEastAsia" w:hAnsi="Arial" w:cs="Arial"/>
                <w:color w:val="000000"/>
                <w:sz w:val="22"/>
                <w:szCs w:val="22"/>
                <w:lang w:eastAsia="it-IT"/>
              </w:rPr>
            </w:pPr>
            <w:r>
              <w:rPr>
                <w:rFonts w:ascii="Arial" w:eastAsiaTheme="minorEastAsia" w:hAnsi="Arial" w:cs="Arial"/>
                <w:color w:val="000000"/>
                <w:sz w:val="22"/>
                <w:szCs w:val="22"/>
                <w:lang w:eastAsia="it-IT"/>
              </w:rPr>
              <w:t>HG</w:t>
            </w:r>
          </w:p>
        </w:tc>
        <w:tc>
          <w:tcPr>
            <w:tcW w:w="1019" w:type="dxa"/>
            <w:tcBorders>
              <w:left w:val="nil"/>
              <w:bottom w:val="single" w:sz="4" w:space="0" w:color="auto"/>
              <w:right w:val="nil"/>
            </w:tcBorders>
          </w:tcPr>
          <w:p w:rsidR="00CB1AC0" w:rsidRPr="00CB1AC0" w:rsidRDefault="00CB1AC0" w:rsidP="00CB1AC0">
            <w:pPr>
              <w:autoSpaceDE w:val="0"/>
              <w:autoSpaceDN w:val="0"/>
              <w:adjustRightInd w:val="0"/>
              <w:spacing w:before="120" w:after="120"/>
              <w:jc w:val="center"/>
              <w:rPr>
                <w:rFonts w:ascii="Arial" w:eastAsiaTheme="minorEastAsia" w:hAnsi="Arial" w:cs="Arial"/>
                <w:color w:val="000000"/>
                <w:sz w:val="22"/>
                <w:szCs w:val="22"/>
                <w:lang w:eastAsia="it-IT"/>
              </w:rPr>
            </w:pPr>
            <w:r w:rsidRPr="00CB1AC0">
              <w:rPr>
                <w:rFonts w:ascii="Arial" w:eastAsiaTheme="minorEastAsia" w:hAnsi="Arial" w:cs="Arial"/>
                <w:color w:val="000000"/>
                <w:sz w:val="22"/>
                <w:szCs w:val="22"/>
                <w:lang w:eastAsia="it-IT"/>
              </w:rPr>
              <w:t>Non-HG</w:t>
            </w:r>
          </w:p>
        </w:tc>
        <w:tc>
          <w:tcPr>
            <w:tcW w:w="1018" w:type="dxa"/>
            <w:tcBorders>
              <w:left w:val="nil"/>
              <w:bottom w:val="single" w:sz="4" w:space="0" w:color="auto"/>
              <w:right w:val="nil"/>
            </w:tcBorders>
          </w:tcPr>
          <w:p w:rsidR="00CB1AC0" w:rsidRDefault="00CB1AC0" w:rsidP="00CB1AC0">
            <w:pPr>
              <w:autoSpaceDE w:val="0"/>
              <w:autoSpaceDN w:val="0"/>
              <w:adjustRightInd w:val="0"/>
              <w:spacing w:before="120" w:after="120"/>
              <w:jc w:val="center"/>
            </w:pPr>
            <w:r w:rsidRPr="00CB1AC0">
              <w:rPr>
                <w:rFonts w:ascii="Arial" w:eastAsiaTheme="minorEastAsia" w:hAnsi="Arial" w:cs="Arial"/>
                <w:color w:val="000000"/>
                <w:sz w:val="22"/>
                <w:szCs w:val="22"/>
                <w:lang w:eastAsia="it-IT"/>
              </w:rPr>
              <w:t>HG</w:t>
            </w:r>
          </w:p>
        </w:tc>
        <w:tc>
          <w:tcPr>
            <w:tcW w:w="1018" w:type="dxa"/>
            <w:tcBorders>
              <w:left w:val="nil"/>
              <w:bottom w:val="single" w:sz="4" w:space="0" w:color="auto"/>
              <w:right w:val="nil"/>
            </w:tcBorders>
          </w:tcPr>
          <w:p w:rsidR="00CB1AC0" w:rsidRPr="00CB1AC0" w:rsidRDefault="00CB1AC0" w:rsidP="00CB1AC0">
            <w:pPr>
              <w:autoSpaceDE w:val="0"/>
              <w:autoSpaceDN w:val="0"/>
              <w:adjustRightInd w:val="0"/>
              <w:spacing w:before="120" w:after="120"/>
              <w:jc w:val="center"/>
              <w:rPr>
                <w:rFonts w:ascii="Arial" w:eastAsiaTheme="minorEastAsia" w:hAnsi="Arial" w:cs="Arial"/>
                <w:color w:val="000000"/>
                <w:sz w:val="22"/>
                <w:szCs w:val="22"/>
                <w:lang w:eastAsia="it-IT"/>
              </w:rPr>
            </w:pPr>
            <w:r w:rsidRPr="00CB1AC0">
              <w:rPr>
                <w:rFonts w:ascii="Arial" w:eastAsiaTheme="minorEastAsia" w:hAnsi="Arial" w:cs="Arial"/>
                <w:color w:val="000000"/>
                <w:sz w:val="22"/>
                <w:szCs w:val="22"/>
                <w:lang w:eastAsia="it-IT"/>
              </w:rPr>
              <w:t>Non-HG</w:t>
            </w:r>
          </w:p>
        </w:tc>
        <w:tc>
          <w:tcPr>
            <w:tcW w:w="1019" w:type="dxa"/>
            <w:tcBorders>
              <w:left w:val="nil"/>
              <w:bottom w:val="single" w:sz="4" w:space="0" w:color="auto"/>
              <w:right w:val="nil"/>
            </w:tcBorders>
          </w:tcPr>
          <w:p w:rsidR="00CB1AC0" w:rsidRPr="00CB1AC0" w:rsidRDefault="00CB1AC0" w:rsidP="00CB1AC0">
            <w:pPr>
              <w:autoSpaceDE w:val="0"/>
              <w:autoSpaceDN w:val="0"/>
              <w:adjustRightInd w:val="0"/>
              <w:spacing w:before="120" w:after="120"/>
              <w:jc w:val="center"/>
              <w:rPr>
                <w:rFonts w:ascii="Arial" w:eastAsiaTheme="minorEastAsia" w:hAnsi="Arial" w:cs="Arial"/>
                <w:color w:val="000000"/>
                <w:sz w:val="22"/>
                <w:szCs w:val="22"/>
                <w:lang w:eastAsia="it-IT"/>
              </w:rPr>
            </w:pPr>
            <w:r w:rsidRPr="00CB1AC0">
              <w:rPr>
                <w:rFonts w:ascii="Arial" w:eastAsiaTheme="minorEastAsia" w:hAnsi="Arial" w:cs="Arial"/>
                <w:color w:val="000000"/>
                <w:sz w:val="22"/>
                <w:szCs w:val="22"/>
                <w:lang w:eastAsia="it-IT"/>
              </w:rPr>
              <w:t>HG</w:t>
            </w:r>
          </w:p>
        </w:tc>
        <w:tc>
          <w:tcPr>
            <w:tcW w:w="1018" w:type="dxa"/>
            <w:tcBorders>
              <w:left w:val="nil"/>
              <w:bottom w:val="single" w:sz="4" w:space="0" w:color="auto"/>
              <w:right w:val="nil"/>
            </w:tcBorders>
          </w:tcPr>
          <w:p w:rsidR="00CB1AC0" w:rsidRPr="00047903" w:rsidRDefault="00CB1AC0" w:rsidP="00FA479F">
            <w:pPr>
              <w:autoSpaceDE w:val="0"/>
              <w:autoSpaceDN w:val="0"/>
              <w:adjustRightInd w:val="0"/>
              <w:spacing w:before="120" w:after="120"/>
              <w:jc w:val="center"/>
              <w:rPr>
                <w:rFonts w:ascii="Arial" w:eastAsiaTheme="minorEastAsia" w:hAnsi="Arial" w:cs="Arial"/>
                <w:color w:val="000000"/>
                <w:sz w:val="22"/>
                <w:szCs w:val="22"/>
                <w:lang w:eastAsia="it-IT"/>
              </w:rPr>
            </w:pPr>
            <w:r>
              <w:rPr>
                <w:rFonts w:ascii="Arial" w:eastAsiaTheme="minorEastAsia" w:hAnsi="Arial" w:cs="Arial"/>
                <w:color w:val="000000"/>
                <w:sz w:val="22"/>
                <w:szCs w:val="22"/>
                <w:lang w:eastAsia="it-IT"/>
              </w:rPr>
              <w:t>Non-HG</w:t>
            </w:r>
          </w:p>
        </w:tc>
        <w:tc>
          <w:tcPr>
            <w:tcW w:w="1019" w:type="dxa"/>
            <w:tcBorders>
              <w:left w:val="nil"/>
              <w:bottom w:val="single" w:sz="4" w:space="0" w:color="auto"/>
              <w:right w:val="nil"/>
            </w:tcBorders>
          </w:tcPr>
          <w:p w:rsidR="00CB1AC0" w:rsidRPr="00047903" w:rsidRDefault="00CB1AC0" w:rsidP="00FA479F">
            <w:pPr>
              <w:autoSpaceDE w:val="0"/>
              <w:autoSpaceDN w:val="0"/>
              <w:adjustRightInd w:val="0"/>
              <w:spacing w:before="120" w:after="120"/>
              <w:jc w:val="center"/>
              <w:rPr>
                <w:rFonts w:ascii="Arial" w:eastAsiaTheme="minorEastAsia" w:hAnsi="Arial" w:cs="Arial"/>
                <w:color w:val="000000"/>
                <w:sz w:val="22"/>
                <w:szCs w:val="22"/>
                <w:lang w:eastAsia="it-IT"/>
              </w:rPr>
            </w:pPr>
            <w:r>
              <w:rPr>
                <w:rFonts w:ascii="Arial" w:eastAsiaTheme="minorEastAsia" w:hAnsi="Arial" w:cs="Arial"/>
                <w:color w:val="000000"/>
                <w:sz w:val="22"/>
                <w:szCs w:val="22"/>
                <w:lang w:eastAsia="it-IT"/>
              </w:rPr>
              <w:t>HG</w:t>
            </w:r>
          </w:p>
        </w:tc>
      </w:tr>
      <w:tr w:rsidR="00F10AA9" w:rsidTr="00F10AA9">
        <w:trPr>
          <w:trHeight w:val="300"/>
        </w:trPr>
        <w:tc>
          <w:tcPr>
            <w:tcW w:w="1023" w:type="dxa"/>
            <w:tcBorders>
              <w:top w:val="single" w:sz="4" w:space="0" w:color="auto"/>
              <w:left w:val="nil"/>
              <w:bottom w:val="nil"/>
              <w:right w:val="nil"/>
            </w:tcBorders>
          </w:tcPr>
          <w:p w:rsidR="00F10AA9" w:rsidRDefault="00F10AA9" w:rsidP="00F10AA9">
            <w:pPr>
              <w:autoSpaceDE w:val="0"/>
              <w:autoSpaceDN w:val="0"/>
              <w:adjustRightInd w:val="0"/>
              <w:jc w:val="center"/>
              <w:rPr>
                <w:rFonts w:ascii="Arial" w:eastAsiaTheme="minorEastAsia" w:hAnsi="Arial" w:cs="Arial"/>
                <w:color w:val="000000"/>
                <w:sz w:val="20"/>
                <w:szCs w:val="20"/>
                <w:lang w:eastAsia="it-IT"/>
              </w:rPr>
            </w:pPr>
          </w:p>
        </w:tc>
        <w:tc>
          <w:tcPr>
            <w:tcW w:w="1018" w:type="dxa"/>
            <w:tcBorders>
              <w:top w:val="single" w:sz="4" w:space="0" w:color="auto"/>
              <w:left w:val="nil"/>
              <w:bottom w:val="nil"/>
              <w:right w:val="nil"/>
            </w:tcBorders>
          </w:tcPr>
          <w:p w:rsidR="00F10AA9" w:rsidRDefault="00F10AA9" w:rsidP="00F10AA9">
            <w:pPr>
              <w:autoSpaceDE w:val="0"/>
              <w:autoSpaceDN w:val="0"/>
              <w:adjustRightInd w:val="0"/>
              <w:jc w:val="center"/>
              <w:rPr>
                <w:rFonts w:ascii="Arial" w:eastAsiaTheme="minorEastAsia" w:hAnsi="Arial" w:cs="Arial"/>
                <w:color w:val="000000"/>
                <w:sz w:val="20"/>
                <w:szCs w:val="20"/>
                <w:lang w:eastAsia="it-IT"/>
              </w:rPr>
            </w:pPr>
          </w:p>
        </w:tc>
        <w:tc>
          <w:tcPr>
            <w:tcW w:w="1018" w:type="dxa"/>
            <w:tcBorders>
              <w:top w:val="single" w:sz="4" w:space="0" w:color="auto"/>
              <w:left w:val="nil"/>
              <w:bottom w:val="nil"/>
              <w:right w:val="nil"/>
            </w:tcBorders>
          </w:tcPr>
          <w:p w:rsidR="00F10AA9" w:rsidRDefault="00F10AA9" w:rsidP="00F10AA9">
            <w:pPr>
              <w:autoSpaceDE w:val="0"/>
              <w:autoSpaceDN w:val="0"/>
              <w:adjustRightInd w:val="0"/>
              <w:jc w:val="center"/>
              <w:rPr>
                <w:rFonts w:ascii="Arial" w:eastAsiaTheme="minorEastAsia" w:hAnsi="Arial" w:cs="Arial"/>
                <w:color w:val="000000"/>
                <w:sz w:val="20"/>
                <w:szCs w:val="20"/>
                <w:lang w:eastAsia="it-IT"/>
              </w:rPr>
            </w:pPr>
          </w:p>
        </w:tc>
        <w:tc>
          <w:tcPr>
            <w:tcW w:w="1019" w:type="dxa"/>
            <w:tcBorders>
              <w:top w:val="single" w:sz="4" w:space="0" w:color="auto"/>
              <w:left w:val="nil"/>
              <w:bottom w:val="nil"/>
              <w:right w:val="nil"/>
            </w:tcBorders>
          </w:tcPr>
          <w:p w:rsidR="00F10AA9" w:rsidRDefault="00F10AA9" w:rsidP="00F10AA9">
            <w:pPr>
              <w:autoSpaceDE w:val="0"/>
              <w:autoSpaceDN w:val="0"/>
              <w:adjustRightInd w:val="0"/>
              <w:jc w:val="center"/>
              <w:rPr>
                <w:rFonts w:ascii="Arial" w:eastAsiaTheme="minorEastAsia" w:hAnsi="Arial" w:cs="Arial"/>
                <w:color w:val="000000"/>
                <w:sz w:val="20"/>
                <w:szCs w:val="20"/>
                <w:lang w:eastAsia="it-IT"/>
              </w:rPr>
            </w:pPr>
          </w:p>
        </w:tc>
        <w:tc>
          <w:tcPr>
            <w:tcW w:w="1018" w:type="dxa"/>
            <w:tcBorders>
              <w:top w:val="single" w:sz="4" w:space="0" w:color="auto"/>
              <w:left w:val="nil"/>
              <w:bottom w:val="nil"/>
              <w:right w:val="nil"/>
            </w:tcBorders>
          </w:tcPr>
          <w:p w:rsidR="00F10AA9" w:rsidRDefault="00F10AA9" w:rsidP="00F10AA9">
            <w:pPr>
              <w:autoSpaceDE w:val="0"/>
              <w:autoSpaceDN w:val="0"/>
              <w:adjustRightInd w:val="0"/>
              <w:jc w:val="center"/>
              <w:rPr>
                <w:rFonts w:ascii="Arial" w:eastAsiaTheme="minorEastAsia" w:hAnsi="Arial" w:cs="Arial"/>
                <w:color w:val="000000"/>
                <w:sz w:val="20"/>
                <w:szCs w:val="20"/>
                <w:lang w:eastAsia="it-IT"/>
              </w:rPr>
            </w:pPr>
          </w:p>
        </w:tc>
        <w:tc>
          <w:tcPr>
            <w:tcW w:w="1018" w:type="dxa"/>
            <w:tcBorders>
              <w:top w:val="single" w:sz="4" w:space="0" w:color="auto"/>
              <w:left w:val="nil"/>
              <w:bottom w:val="nil"/>
              <w:right w:val="nil"/>
            </w:tcBorders>
          </w:tcPr>
          <w:p w:rsidR="00F10AA9" w:rsidRDefault="00F10AA9" w:rsidP="00F10AA9">
            <w:pPr>
              <w:autoSpaceDE w:val="0"/>
              <w:autoSpaceDN w:val="0"/>
              <w:adjustRightInd w:val="0"/>
              <w:jc w:val="center"/>
              <w:rPr>
                <w:rFonts w:ascii="Arial" w:eastAsiaTheme="minorEastAsia" w:hAnsi="Arial" w:cs="Arial"/>
                <w:color w:val="000000"/>
                <w:sz w:val="20"/>
                <w:szCs w:val="20"/>
                <w:lang w:eastAsia="it-IT"/>
              </w:rPr>
            </w:pPr>
          </w:p>
        </w:tc>
        <w:tc>
          <w:tcPr>
            <w:tcW w:w="1019" w:type="dxa"/>
            <w:tcBorders>
              <w:top w:val="single" w:sz="4" w:space="0" w:color="auto"/>
              <w:left w:val="nil"/>
              <w:bottom w:val="nil"/>
              <w:right w:val="nil"/>
            </w:tcBorders>
          </w:tcPr>
          <w:p w:rsidR="00F10AA9" w:rsidRDefault="00F10AA9" w:rsidP="00F10AA9">
            <w:pPr>
              <w:autoSpaceDE w:val="0"/>
              <w:autoSpaceDN w:val="0"/>
              <w:adjustRightInd w:val="0"/>
              <w:jc w:val="center"/>
              <w:rPr>
                <w:rFonts w:ascii="Arial" w:eastAsiaTheme="minorEastAsia" w:hAnsi="Arial" w:cs="Arial"/>
                <w:color w:val="000000"/>
                <w:sz w:val="20"/>
                <w:szCs w:val="20"/>
                <w:lang w:eastAsia="it-IT"/>
              </w:rPr>
            </w:pPr>
          </w:p>
        </w:tc>
        <w:tc>
          <w:tcPr>
            <w:tcW w:w="1018" w:type="dxa"/>
            <w:tcBorders>
              <w:top w:val="single" w:sz="4" w:space="0" w:color="auto"/>
              <w:left w:val="nil"/>
              <w:bottom w:val="nil"/>
              <w:right w:val="nil"/>
            </w:tcBorders>
          </w:tcPr>
          <w:p w:rsidR="00F10AA9" w:rsidRDefault="00F10AA9" w:rsidP="00F10AA9">
            <w:pPr>
              <w:autoSpaceDE w:val="0"/>
              <w:autoSpaceDN w:val="0"/>
              <w:adjustRightInd w:val="0"/>
              <w:jc w:val="center"/>
              <w:rPr>
                <w:rFonts w:ascii="Arial" w:eastAsiaTheme="minorEastAsia" w:hAnsi="Arial" w:cs="Arial"/>
                <w:color w:val="000000"/>
                <w:sz w:val="20"/>
                <w:szCs w:val="20"/>
                <w:lang w:eastAsia="it-IT"/>
              </w:rPr>
            </w:pPr>
          </w:p>
        </w:tc>
        <w:tc>
          <w:tcPr>
            <w:tcW w:w="1019" w:type="dxa"/>
            <w:tcBorders>
              <w:top w:val="single" w:sz="4" w:space="0" w:color="auto"/>
              <w:left w:val="nil"/>
              <w:bottom w:val="nil"/>
              <w:right w:val="nil"/>
            </w:tcBorders>
          </w:tcPr>
          <w:p w:rsidR="00F10AA9" w:rsidRDefault="00F10AA9" w:rsidP="00F10AA9">
            <w:pPr>
              <w:autoSpaceDE w:val="0"/>
              <w:autoSpaceDN w:val="0"/>
              <w:adjustRightInd w:val="0"/>
              <w:jc w:val="center"/>
              <w:rPr>
                <w:rFonts w:ascii="Arial" w:eastAsiaTheme="minorEastAsia" w:hAnsi="Arial" w:cs="Arial"/>
                <w:color w:val="000000"/>
                <w:sz w:val="20"/>
                <w:szCs w:val="20"/>
                <w:lang w:eastAsia="it-IT"/>
              </w:rPr>
            </w:pPr>
          </w:p>
        </w:tc>
      </w:tr>
      <w:tr w:rsidR="00CD06C3" w:rsidTr="00F10AA9">
        <w:trPr>
          <w:trHeight w:val="260"/>
        </w:trPr>
        <w:tc>
          <w:tcPr>
            <w:tcW w:w="1023" w:type="dxa"/>
            <w:tcBorders>
              <w:top w:val="nil"/>
              <w:left w:val="nil"/>
              <w:bottom w:val="nil"/>
              <w:right w:val="nil"/>
            </w:tcBorders>
          </w:tcPr>
          <w:p w:rsidR="00CD06C3" w:rsidRPr="00047903" w:rsidRDefault="00CD06C3" w:rsidP="00CD06C3">
            <w:pPr>
              <w:autoSpaceDE w:val="0"/>
              <w:autoSpaceDN w:val="0"/>
              <w:adjustRightInd w:val="0"/>
              <w:rPr>
                <w:rFonts w:ascii="Arial" w:eastAsiaTheme="minorEastAsia" w:hAnsi="Arial" w:cs="Arial"/>
                <w:color w:val="000000"/>
                <w:sz w:val="22"/>
                <w:szCs w:val="22"/>
                <w:lang w:eastAsia="it-IT"/>
              </w:rPr>
            </w:pPr>
            <w:r>
              <w:rPr>
                <w:rFonts w:ascii="Arial" w:eastAsiaTheme="minorEastAsia" w:hAnsi="Arial" w:cs="Arial"/>
                <w:color w:val="000000"/>
                <w:sz w:val="22"/>
                <w:szCs w:val="22"/>
                <w:lang w:eastAsia="it-IT"/>
              </w:rPr>
              <w:t>SEP</w:t>
            </w:r>
          </w:p>
        </w:tc>
        <w:tc>
          <w:tcPr>
            <w:tcW w:w="1018" w:type="dxa"/>
            <w:tcBorders>
              <w:top w:val="nil"/>
              <w:left w:val="nil"/>
              <w:bottom w:val="nil"/>
              <w:right w:val="nil"/>
            </w:tcBorders>
            <w:vAlign w:val="bottom"/>
          </w:tcPr>
          <w:p w:rsidR="00CD06C3" w:rsidRPr="00047903" w:rsidRDefault="00CD06C3" w:rsidP="00CD06C3">
            <w:pPr>
              <w:jc w:val="center"/>
              <w:rPr>
                <w:rFonts w:ascii="Arial" w:eastAsia="Times New Roman" w:hAnsi="Arial" w:cs="Arial"/>
                <w:color w:val="000000"/>
                <w:sz w:val="22"/>
                <w:szCs w:val="22"/>
                <w:lang w:eastAsia="it-IT"/>
              </w:rPr>
            </w:pPr>
            <w:r>
              <w:rPr>
                <w:rFonts w:ascii="Arial" w:eastAsia="Times New Roman" w:hAnsi="Arial" w:cs="Arial"/>
                <w:color w:val="000000"/>
                <w:sz w:val="22"/>
                <w:szCs w:val="22"/>
                <w:lang w:eastAsia="it-IT"/>
              </w:rPr>
              <w:t xml:space="preserve">13 </w:t>
            </w:r>
            <w:r w:rsidRPr="00047903">
              <w:rPr>
                <w:rFonts w:ascii="Arial" w:hAnsi="Arial" w:cs="Arial"/>
                <w:color w:val="000000"/>
                <w:sz w:val="22"/>
                <w:szCs w:val="22"/>
              </w:rPr>
              <w:t>±</w:t>
            </w:r>
            <w:r>
              <w:rPr>
                <w:rFonts w:ascii="Arial" w:eastAsia="Times New Roman" w:hAnsi="Arial" w:cs="Arial"/>
                <w:color w:val="000000"/>
                <w:sz w:val="22"/>
                <w:szCs w:val="22"/>
                <w:lang w:eastAsia="it-IT"/>
              </w:rPr>
              <w:t xml:space="preserve"> 17</w:t>
            </w:r>
          </w:p>
        </w:tc>
        <w:tc>
          <w:tcPr>
            <w:tcW w:w="1018" w:type="dxa"/>
            <w:tcBorders>
              <w:top w:val="nil"/>
              <w:left w:val="nil"/>
              <w:bottom w:val="nil"/>
              <w:right w:val="nil"/>
            </w:tcBorders>
            <w:vAlign w:val="bottom"/>
          </w:tcPr>
          <w:p w:rsidR="00CD06C3" w:rsidRPr="00047903" w:rsidRDefault="00CD06C3" w:rsidP="00CD06C3">
            <w:pPr>
              <w:jc w:val="center"/>
              <w:rPr>
                <w:rFonts w:ascii="Arial" w:eastAsia="Times New Roman" w:hAnsi="Arial" w:cs="Arial"/>
                <w:color w:val="000000"/>
                <w:sz w:val="22"/>
                <w:szCs w:val="22"/>
                <w:lang w:eastAsia="it-IT"/>
              </w:rPr>
            </w:pPr>
            <w:r>
              <w:rPr>
                <w:rFonts w:ascii="Arial" w:eastAsia="Times New Roman" w:hAnsi="Arial" w:cs="Arial"/>
                <w:color w:val="000000"/>
                <w:sz w:val="22"/>
                <w:szCs w:val="22"/>
                <w:lang w:eastAsia="it-IT"/>
              </w:rPr>
              <w:t xml:space="preserve">8 </w:t>
            </w:r>
            <w:r w:rsidRPr="00047903">
              <w:rPr>
                <w:rFonts w:ascii="Arial" w:hAnsi="Arial" w:cs="Arial"/>
                <w:color w:val="000000"/>
                <w:sz w:val="22"/>
                <w:szCs w:val="22"/>
              </w:rPr>
              <w:t>±</w:t>
            </w:r>
            <w:r>
              <w:rPr>
                <w:rFonts w:ascii="Arial" w:eastAsia="Times New Roman" w:hAnsi="Arial" w:cs="Arial"/>
                <w:color w:val="000000"/>
                <w:sz w:val="22"/>
                <w:szCs w:val="22"/>
                <w:lang w:eastAsia="it-IT"/>
              </w:rPr>
              <w:t xml:space="preserve"> 6</w:t>
            </w:r>
          </w:p>
        </w:tc>
        <w:tc>
          <w:tcPr>
            <w:tcW w:w="1019"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sidRPr="00047903">
              <w:rPr>
                <w:rFonts w:ascii="Arial" w:hAnsi="Arial" w:cs="Arial"/>
                <w:color w:val="000000"/>
                <w:sz w:val="22"/>
                <w:szCs w:val="22"/>
              </w:rPr>
              <w:t>6</w:t>
            </w:r>
            <w:r>
              <w:rPr>
                <w:rFonts w:ascii="Arial" w:hAnsi="Arial" w:cs="Arial"/>
                <w:color w:val="000000"/>
                <w:sz w:val="22"/>
                <w:szCs w:val="22"/>
              </w:rPr>
              <w:t xml:space="preserve">5 </w:t>
            </w:r>
            <w:r w:rsidRPr="00047903">
              <w:rPr>
                <w:rFonts w:ascii="Arial" w:hAnsi="Arial" w:cs="Arial"/>
                <w:color w:val="000000"/>
                <w:sz w:val="22"/>
                <w:szCs w:val="22"/>
              </w:rPr>
              <w:t>±</w:t>
            </w:r>
            <w:r>
              <w:rPr>
                <w:rFonts w:ascii="Arial" w:hAnsi="Arial" w:cs="Arial"/>
                <w:color w:val="000000"/>
                <w:sz w:val="22"/>
                <w:szCs w:val="22"/>
              </w:rPr>
              <w:t xml:space="preserve"> 20</w:t>
            </w:r>
          </w:p>
        </w:tc>
        <w:tc>
          <w:tcPr>
            <w:tcW w:w="1018" w:type="dxa"/>
            <w:tcBorders>
              <w:top w:val="nil"/>
              <w:left w:val="nil"/>
              <w:bottom w:val="nil"/>
              <w:right w:val="nil"/>
            </w:tcBorders>
            <w:vAlign w:val="bottom"/>
          </w:tcPr>
          <w:p w:rsidR="00CD06C3" w:rsidRPr="00047903" w:rsidRDefault="00BF55E0" w:rsidP="00CD06C3">
            <w:pPr>
              <w:jc w:val="center"/>
              <w:rPr>
                <w:rFonts w:ascii="Arial" w:hAnsi="Arial" w:cs="Arial"/>
                <w:color w:val="000000"/>
                <w:sz w:val="22"/>
                <w:szCs w:val="22"/>
              </w:rPr>
            </w:pPr>
            <w:r>
              <w:rPr>
                <w:rFonts w:ascii="Arial" w:hAnsi="Arial" w:cs="Arial"/>
                <w:color w:val="000000"/>
                <w:sz w:val="22"/>
                <w:szCs w:val="22"/>
              </w:rPr>
              <w:t>70</w:t>
            </w:r>
            <w:r w:rsidR="00D94101">
              <w:rPr>
                <w:rFonts w:ascii="Arial" w:hAnsi="Arial" w:cs="Arial"/>
                <w:color w:val="000000"/>
                <w:sz w:val="22"/>
                <w:szCs w:val="22"/>
              </w:rPr>
              <w:t>*</w:t>
            </w:r>
            <w:r w:rsidR="00CD06C3">
              <w:rPr>
                <w:rFonts w:ascii="Arial" w:hAnsi="Arial" w:cs="Arial"/>
                <w:color w:val="000000"/>
                <w:sz w:val="22"/>
                <w:szCs w:val="22"/>
              </w:rPr>
              <w:t xml:space="preserve"> </w:t>
            </w:r>
            <w:r w:rsidR="00CD06C3" w:rsidRPr="00047903">
              <w:rPr>
                <w:rFonts w:ascii="Arial" w:hAnsi="Arial" w:cs="Arial"/>
                <w:color w:val="000000"/>
                <w:sz w:val="22"/>
                <w:szCs w:val="22"/>
              </w:rPr>
              <w:t>±</w:t>
            </w:r>
            <w:r w:rsidR="00CD06C3">
              <w:rPr>
                <w:rFonts w:ascii="Arial" w:hAnsi="Arial" w:cs="Arial"/>
                <w:color w:val="000000"/>
                <w:sz w:val="22"/>
                <w:szCs w:val="22"/>
              </w:rPr>
              <w:t xml:space="preserve"> </w:t>
            </w:r>
            <w:r>
              <w:rPr>
                <w:rFonts w:ascii="Arial" w:hAnsi="Arial" w:cs="Arial"/>
                <w:color w:val="000000"/>
                <w:sz w:val="22"/>
                <w:szCs w:val="22"/>
              </w:rPr>
              <w:t>15</w:t>
            </w:r>
          </w:p>
        </w:tc>
        <w:tc>
          <w:tcPr>
            <w:tcW w:w="1018"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Pr>
                <w:rFonts w:ascii="Arial" w:hAnsi="Arial" w:cs="Arial"/>
                <w:color w:val="000000"/>
                <w:sz w:val="22"/>
                <w:szCs w:val="22"/>
              </w:rPr>
              <w:t xml:space="preserve">15 </w:t>
            </w:r>
            <w:r w:rsidRPr="00047903">
              <w:rPr>
                <w:rFonts w:ascii="Arial" w:hAnsi="Arial" w:cs="Arial"/>
                <w:color w:val="000000"/>
                <w:sz w:val="22"/>
                <w:szCs w:val="22"/>
              </w:rPr>
              <w:t>±</w:t>
            </w:r>
            <w:r>
              <w:rPr>
                <w:rFonts w:ascii="Arial" w:hAnsi="Arial" w:cs="Arial"/>
                <w:color w:val="000000"/>
                <w:sz w:val="22"/>
                <w:szCs w:val="22"/>
              </w:rPr>
              <w:t xml:space="preserve"> 9</w:t>
            </w:r>
          </w:p>
        </w:tc>
        <w:tc>
          <w:tcPr>
            <w:tcW w:w="1019" w:type="dxa"/>
            <w:tcBorders>
              <w:top w:val="nil"/>
              <w:left w:val="nil"/>
              <w:bottom w:val="nil"/>
              <w:right w:val="nil"/>
            </w:tcBorders>
            <w:vAlign w:val="bottom"/>
          </w:tcPr>
          <w:p w:rsidR="00CD06C3" w:rsidRPr="00047903" w:rsidRDefault="00BF55E0" w:rsidP="00CD06C3">
            <w:pPr>
              <w:jc w:val="center"/>
              <w:rPr>
                <w:rFonts w:ascii="Arial" w:hAnsi="Arial" w:cs="Arial"/>
                <w:color w:val="000000"/>
                <w:sz w:val="22"/>
                <w:szCs w:val="22"/>
              </w:rPr>
            </w:pPr>
            <w:r>
              <w:rPr>
                <w:rFonts w:ascii="Arial" w:hAnsi="Arial" w:cs="Arial"/>
                <w:color w:val="000000"/>
                <w:sz w:val="22"/>
                <w:szCs w:val="22"/>
              </w:rPr>
              <w:t xml:space="preserve">13 </w:t>
            </w:r>
            <w:r w:rsidRPr="00047903">
              <w:rPr>
                <w:rFonts w:ascii="Arial" w:hAnsi="Arial" w:cs="Arial"/>
                <w:color w:val="000000"/>
                <w:sz w:val="22"/>
                <w:szCs w:val="22"/>
              </w:rPr>
              <w:t>±</w:t>
            </w:r>
            <w:r>
              <w:rPr>
                <w:rFonts w:ascii="Arial" w:hAnsi="Arial" w:cs="Arial"/>
                <w:color w:val="000000"/>
                <w:sz w:val="22"/>
                <w:szCs w:val="22"/>
              </w:rPr>
              <w:t xml:space="preserve"> 9</w:t>
            </w:r>
          </w:p>
        </w:tc>
        <w:tc>
          <w:tcPr>
            <w:tcW w:w="1018"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Pr>
                <w:rFonts w:ascii="Arial" w:hAnsi="Arial" w:cs="Arial"/>
                <w:color w:val="000000"/>
                <w:sz w:val="22"/>
                <w:szCs w:val="22"/>
              </w:rPr>
              <w:t xml:space="preserve">15 </w:t>
            </w:r>
            <w:r w:rsidRPr="00047903">
              <w:rPr>
                <w:rFonts w:ascii="Arial" w:hAnsi="Arial" w:cs="Arial"/>
                <w:color w:val="000000"/>
                <w:sz w:val="22"/>
                <w:szCs w:val="22"/>
              </w:rPr>
              <w:t>±</w:t>
            </w:r>
            <w:r>
              <w:rPr>
                <w:rFonts w:ascii="Arial" w:hAnsi="Arial" w:cs="Arial"/>
                <w:color w:val="000000"/>
                <w:sz w:val="22"/>
                <w:szCs w:val="22"/>
              </w:rPr>
              <w:t xml:space="preserve"> 11</w:t>
            </w:r>
          </w:p>
        </w:tc>
        <w:tc>
          <w:tcPr>
            <w:tcW w:w="1019" w:type="dxa"/>
            <w:tcBorders>
              <w:top w:val="nil"/>
              <w:left w:val="nil"/>
              <w:bottom w:val="nil"/>
              <w:right w:val="nil"/>
            </w:tcBorders>
            <w:vAlign w:val="bottom"/>
          </w:tcPr>
          <w:p w:rsidR="00CD06C3" w:rsidRPr="00047903" w:rsidRDefault="00BF55E0" w:rsidP="00CD06C3">
            <w:pPr>
              <w:jc w:val="center"/>
              <w:rPr>
                <w:rFonts w:ascii="Arial" w:hAnsi="Arial" w:cs="Arial"/>
                <w:color w:val="000000"/>
                <w:sz w:val="22"/>
                <w:szCs w:val="22"/>
              </w:rPr>
            </w:pPr>
            <w:r>
              <w:rPr>
                <w:rFonts w:ascii="Arial" w:hAnsi="Arial" w:cs="Arial"/>
                <w:color w:val="000000"/>
                <w:sz w:val="22"/>
                <w:szCs w:val="22"/>
              </w:rPr>
              <w:t xml:space="preserve">10 </w:t>
            </w:r>
            <w:r w:rsidRPr="00047903">
              <w:rPr>
                <w:rFonts w:ascii="Arial" w:hAnsi="Arial" w:cs="Arial"/>
                <w:color w:val="000000"/>
                <w:sz w:val="22"/>
                <w:szCs w:val="22"/>
              </w:rPr>
              <w:t>±</w:t>
            </w:r>
            <w:r>
              <w:rPr>
                <w:rFonts w:ascii="Arial" w:hAnsi="Arial" w:cs="Arial"/>
                <w:color w:val="000000"/>
                <w:sz w:val="22"/>
                <w:szCs w:val="22"/>
              </w:rPr>
              <w:t xml:space="preserve"> 8</w:t>
            </w:r>
            <w:r w:rsidR="00CD06C3">
              <w:rPr>
                <w:rFonts w:ascii="Arial" w:hAnsi="Arial" w:cs="Arial"/>
                <w:color w:val="000000"/>
                <w:sz w:val="22"/>
                <w:szCs w:val="22"/>
              </w:rPr>
              <w:t xml:space="preserve"> </w:t>
            </w:r>
          </w:p>
        </w:tc>
      </w:tr>
      <w:tr w:rsidR="00CD06C3" w:rsidTr="00F10AA9">
        <w:trPr>
          <w:trHeight w:val="260"/>
        </w:trPr>
        <w:tc>
          <w:tcPr>
            <w:tcW w:w="1023" w:type="dxa"/>
            <w:tcBorders>
              <w:top w:val="nil"/>
              <w:left w:val="nil"/>
              <w:bottom w:val="nil"/>
              <w:right w:val="nil"/>
            </w:tcBorders>
          </w:tcPr>
          <w:p w:rsidR="00CD06C3" w:rsidRPr="00047903" w:rsidRDefault="00CD06C3" w:rsidP="00CD06C3">
            <w:pPr>
              <w:autoSpaceDE w:val="0"/>
              <w:autoSpaceDN w:val="0"/>
              <w:adjustRightInd w:val="0"/>
              <w:rPr>
                <w:rFonts w:ascii="Arial" w:eastAsiaTheme="minorEastAsia" w:hAnsi="Arial" w:cs="Arial"/>
                <w:color w:val="000000"/>
                <w:sz w:val="22"/>
                <w:szCs w:val="22"/>
                <w:lang w:eastAsia="it-IT"/>
              </w:rPr>
            </w:pPr>
            <w:r w:rsidRPr="00047903">
              <w:rPr>
                <w:rFonts w:ascii="Arial" w:eastAsiaTheme="minorEastAsia" w:hAnsi="Arial" w:cs="Arial"/>
                <w:color w:val="000000"/>
                <w:sz w:val="22"/>
                <w:szCs w:val="22"/>
                <w:lang w:eastAsia="it-IT"/>
              </w:rPr>
              <w:t>EAT</w:t>
            </w:r>
          </w:p>
        </w:tc>
        <w:tc>
          <w:tcPr>
            <w:tcW w:w="1018" w:type="dxa"/>
            <w:tcBorders>
              <w:top w:val="nil"/>
              <w:left w:val="nil"/>
              <w:bottom w:val="nil"/>
              <w:right w:val="nil"/>
            </w:tcBorders>
            <w:vAlign w:val="bottom"/>
          </w:tcPr>
          <w:p w:rsidR="00CD06C3" w:rsidRPr="00047903" w:rsidRDefault="00CD06C3" w:rsidP="00CD06C3">
            <w:pPr>
              <w:jc w:val="center"/>
              <w:rPr>
                <w:rFonts w:ascii="Arial" w:eastAsia="Times New Roman" w:hAnsi="Arial" w:cs="Arial"/>
                <w:color w:val="000000"/>
                <w:sz w:val="22"/>
                <w:szCs w:val="22"/>
                <w:lang w:eastAsia="it-IT"/>
              </w:rPr>
            </w:pPr>
            <w:r w:rsidRPr="00047903">
              <w:rPr>
                <w:rFonts w:ascii="Arial" w:hAnsi="Arial" w:cs="Arial"/>
                <w:color w:val="000000"/>
                <w:sz w:val="22"/>
                <w:szCs w:val="22"/>
              </w:rPr>
              <w:t>1</w:t>
            </w:r>
            <w:r>
              <w:rPr>
                <w:rFonts w:ascii="Arial" w:hAnsi="Arial" w:cs="Arial"/>
                <w:color w:val="000000"/>
                <w:sz w:val="22"/>
                <w:szCs w:val="22"/>
              </w:rPr>
              <w:t xml:space="preserve">4 </w:t>
            </w:r>
            <w:r w:rsidRPr="00047903">
              <w:rPr>
                <w:rFonts w:ascii="Arial" w:hAnsi="Arial" w:cs="Arial"/>
                <w:color w:val="000000"/>
                <w:sz w:val="22"/>
                <w:szCs w:val="22"/>
              </w:rPr>
              <w:t>±</w:t>
            </w:r>
            <w:r>
              <w:rPr>
                <w:rFonts w:ascii="Arial" w:hAnsi="Arial" w:cs="Arial"/>
                <w:color w:val="000000"/>
                <w:sz w:val="22"/>
                <w:szCs w:val="22"/>
              </w:rPr>
              <w:t xml:space="preserve"> </w:t>
            </w:r>
            <w:r w:rsidRPr="00047903">
              <w:rPr>
                <w:rFonts w:ascii="Arial" w:hAnsi="Arial" w:cs="Arial"/>
                <w:color w:val="000000"/>
                <w:sz w:val="22"/>
                <w:szCs w:val="22"/>
              </w:rPr>
              <w:t>1</w:t>
            </w:r>
            <w:r>
              <w:rPr>
                <w:rFonts w:ascii="Arial" w:hAnsi="Arial" w:cs="Arial"/>
                <w:color w:val="000000"/>
                <w:sz w:val="22"/>
                <w:szCs w:val="22"/>
              </w:rPr>
              <w:t>1</w:t>
            </w:r>
          </w:p>
        </w:tc>
        <w:tc>
          <w:tcPr>
            <w:tcW w:w="1018" w:type="dxa"/>
            <w:tcBorders>
              <w:top w:val="nil"/>
              <w:left w:val="nil"/>
              <w:bottom w:val="nil"/>
              <w:right w:val="nil"/>
            </w:tcBorders>
            <w:vAlign w:val="bottom"/>
          </w:tcPr>
          <w:p w:rsidR="00CD06C3" w:rsidRPr="00047903" w:rsidRDefault="00CD06C3" w:rsidP="00CD06C3">
            <w:pPr>
              <w:jc w:val="center"/>
              <w:rPr>
                <w:rFonts w:ascii="Arial" w:eastAsia="Times New Roman" w:hAnsi="Arial" w:cs="Arial"/>
                <w:color w:val="000000"/>
                <w:sz w:val="22"/>
                <w:szCs w:val="22"/>
                <w:lang w:eastAsia="it-IT"/>
              </w:rPr>
            </w:pPr>
            <w:r w:rsidRPr="00047903">
              <w:rPr>
                <w:rFonts w:ascii="Arial" w:hAnsi="Arial" w:cs="Arial"/>
                <w:color w:val="000000"/>
                <w:sz w:val="22"/>
                <w:szCs w:val="22"/>
              </w:rPr>
              <w:t>1</w:t>
            </w:r>
            <w:r>
              <w:rPr>
                <w:rFonts w:ascii="Arial" w:hAnsi="Arial" w:cs="Arial"/>
                <w:color w:val="000000"/>
                <w:sz w:val="22"/>
                <w:szCs w:val="22"/>
              </w:rPr>
              <w:t xml:space="preserve">4 </w:t>
            </w:r>
            <w:r w:rsidRPr="00047903">
              <w:rPr>
                <w:rFonts w:ascii="Arial" w:hAnsi="Arial" w:cs="Arial"/>
                <w:color w:val="000000"/>
                <w:sz w:val="22"/>
                <w:szCs w:val="22"/>
              </w:rPr>
              <w:t>±</w:t>
            </w:r>
            <w:r>
              <w:rPr>
                <w:rFonts w:ascii="Arial" w:hAnsi="Arial" w:cs="Arial"/>
                <w:color w:val="000000"/>
                <w:sz w:val="22"/>
                <w:szCs w:val="22"/>
              </w:rPr>
              <w:t xml:space="preserve"> 9</w:t>
            </w:r>
          </w:p>
        </w:tc>
        <w:tc>
          <w:tcPr>
            <w:tcW w:w="1019"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Pr>
                <w:rFonts w:ascii="Arial" w:hAnsi="Arial" w:cs="Arial"/>
                <w:color w:val="000000"/>
                <w:sz w:val="22"/>
                <w:szCs w:val="22"/>
              </w:rPr>
              <w:t xml:space="preserve">71 </w:t>
            </w:r>
            <w:r w:rsidRPr="00047903">
              <w:rPr>
                <w:rFonts w:ascii="Arial" w:hAnsi="Arial" w:cs="Arial"/>
                <w:color w:val="000000"/>
                <w:sz w:val="22"/>
                <w:szCs w:val="22"/>
              </w:rPr>
              <w:t>±</w:t>
            </w:r>
            <w:r>
              <w:rPr>
                <w:rFonts w:ascii="Arial" w:hAnsi="Arial" w:cs="Arial"/>
                <w:color w:val="000000"/>
                <w:sz w:val="22"/>
                <w:szCs w:val="22"/>
              </w:rPr>
              <w:t xml:space="preserve"> </w:t>
            </w:r>
            <w:r w:rsidRPr="00047903">
              <w:rPr>
                <w:rFonts w:ascii="Arial" w:hAnsi="Arial" w:cs="Arial"/>
                <w:color w:val="000000"/>
                <w:sz w:val="22"/>
                <w:szCs w:val="22"/>
              </w:rPr>
              <w:t>1</w:t>
            </w:r>
            <w:r>
              <w:rPr>
                <w:rFonts w:ascii="Arial" w:hAnsi="Arial" w:cs="Arial"/>
                <w:color w:val="000000"/>
                <w:sz w:val="22"/>
                <w:szCs w:val="22"/>
              </w:rPr>
              <w:t>2</w:t>
            </w:r>
          </w:p>
        </w:tc>
        <w:tc>
          <w:tcPr>
            <w:tcW w:w="1018"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Pr>
                <w:rFonts w:ascii="Arial" w:hAnsi="Arial" w:cs="Arial"/>
                <w:color w:val="000000"/>
                <w:sz w:val="22"/>
                <w:szCs w:val="22"/>
              </w:rPr>
              <w:t xml:space="preserve">66 </w:t>
            </w:r>
            <w:r w:rsidRPr="00047903">
              <w:rPr>
                <w:rFonts w:ascii="Arial" w:hAnsi="Arial" w:cs="Arial"/>
                <w:color w:val="000000"/>
                <w:sz w:val="22"/>
                <w:szCs w:val="22"/>
              </w:rPr>
              <w:t>±</w:t>
            </w:r>
            <w:r>
              <w:rPr>
                <w:rFonts w:ascii="Arial" w:hAnsi="Arial" w:cs="Arial"/>
                <w:color w:val="000000"/>
                <w:sz w:val="22"/>
                <w:szCs w:val="22"/>
              </w:rPr>
              <w:t xml:space="preserve"> 11</w:t>
            </w:r>
          </w:p>
        </w:tc>
        <w:tc>
          <w:tcPr>
            <w:tcW w:w="1018"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sidRPr="00047903">
              <w:rPr>
                <w:rFonts w:ascii="Arial" w:hAnsi="Arial" w:cs="Arial"/>
                <w:color w:val="000000"/>
                <w:sz w:val="22"/>
                <w:szCs w:val="22"/>
              </w:rPr>
              <w:t>1</w:t>
            </w:r>
            <w:r>
              <w:rPr>
                <w:rFonts w:ascii="Arial" w:hAnsi="Arial" w:cs="Arial"/>
                <w:color w:val="000000"/>
                <w:sz w:val="22"/>
                <w:szCs w:val="22"/>
              </w:rPr>
              <w:t xml:space="preserve">1 </w:t>
            </w:r>
            <w:r w:rsidRPr="00047903">
              <w:rPr>
                <w:rFonts w:ascii="Arial" w:hAnsi="Arial" w:cs="Arial"/>
                <w:color w:val="000000"/>
                <w:sz w:val="22"/>
                <w:szCs w:val="22"/>
              </w:rPr>
              <w:t>±</w:t>
            </w:r>
            <w:r>
              <w:rPr>
                <w:rFonts w:ascii="Arial" w:hAnsi="Arial" w:cs="Arial"/>
                <w:color w:val="000000"/>
                <w:sz w:val="22"/>
                <w:szCs w:val="22"/>
              </w:rPr>
              <w:t xml:space="preserve"> 7</w:t>
            </w:r>
          </w:p>
        </w:tc>
        <w:tc>
          <w:tcPr>
            <w:tcW w:w="1019"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Pr>
                <w:rFonts w:ascii="Arial" w:hAnsi="Arial" w:cs="Arial"/>
                <w:color w:val="000000"/>
                <w:sz w:val="22"/>
                <w:szCs w:val="22"/>
              </w:rPr>
              <w:t xml:space="preserve">14 </w:t>
            </w:r>
            <w:r w:rsidRPr="00047903">
              <w:rPr>
                <w:rFonts w:ascii="Arial" w:hAnsi="Arial" w:cs="Arial"/>
                <w:color w:val="000000"/>
                <w:sz w:val="22"/>
                <w:szCs w:val="22"/>
              </w:rPr>
              <w:t>±</w:t>
            </w:r>
            <w:r>
              <w:rPr>
                <w:rFonts w:ascii="Arial" w:hAnsi="Arial" w:cs="Arial"/>
                <w:color w:val="000000"/>
                <w:sz w:val="22"/>
                <w:szCs w:val="22"/>
              </w:rPr>
              <w:t xml:space="preserve"> 9</w:t>
            </w:r>
          </w:p>
        </w:tc>
        <w:tc>
          <w:tcPr>
            <w:tcW w:w="1018"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sidRPr="00047903">
              <w:rPr>
                <w:rFonts w:ascii="Arial" w:hAnsi="Arial" w:cs="Arial"/>
                <w:color w:val="000000"/>
                <w:sz w:val="22"/>
                <w:szCs w:val="22"/>
              </w:rPr>
              <w:t>1</w:t>
            </w:r>
            <w:r>
              <w:rPr>
                <w:rFonts w:ascii="Arial" w:hAnsi="Arial" w:cs="Arial"/>
                <w:color w:val="000000"/>
                <w:sz w:val="22"/>
                <w:szCs w:val="22"/>
              </w:rPr>
              <w:t xml:space="preserve">0 </w:t>
            </w:r>
            <w:r w:rsidRPr="00047903">
              <w:rPr>
                <w:rFonts w:ascii="Arial" w:hAnsi="Arial" w:cs="Arial"/>
                <w:color w:val="000000"/>
                <w:sz w:val="22"/>
                <w:szCs w:val="22"/>
              </w:rPr>
              <w:t>±</w:t>
            </w:r>
            <w:r>
              <w:rPr>
                <w:rFonts w:ascii="Arial" w:hAnsi="Arial" w:cs="Arial"/>
                <w:color w:val="000000"/>
                <w:sz w:val="22"/>
                <w:szCs w:val="22"/>
              </w:rPr>
              <w:t xml:space="preserve"> 5</w:t>
            </w:r>
          </w:p>
        </w:tc>
        <w:tc>
          <w:tcPr>
            <w:tcW w:w="1019"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Pr>
                <w:rFonts w:ascii="Arial" w:hAnsi="Arial" w:cs="Arial"/>
                <w:color w:val="000000"/>
                <w:sz w:val="22"/>
                <w:szCs w:val="22"/>
              </w:rPr>
              <w:t xml:space="preserve">11 </w:t>
            </w:r>
            <w:r w:rsidRPr="00047903">
              <w:rPr>
                <w:rFonts w:ascii="Arial" w:hAnsi="Arial" w:cs="Arial"/>
                <w:color w:val="000000"/>
                <w:sz w:val="22"/>
                <w:szCs w:val="22"/>
              </w:rPr>
              <w:t>±</w:t>
            </w:r>
            <w:r>
              <w:rPr>
                <w:rFonts w:ascii="Arial" w:hAnsi="Arial" w:cs="Arial"/>
                <w:color w:val="000000"/>
                <w:sz w:val="22"/>
                <w:szCs w:val="22"/>
              </w:rPr>
              <w:t xml:space="preserve"> 9</w:t>
            </w:r>
          </w:p>
        </w:tc>
      </w:tr>
      <w:tr w:rsidR="00CD06C3" w:rsidTr="00F10AA9">
        <w:trPr>
          <w:trHeight w:val="260"/>
        </w:trPr>
        <w:tc>
          <w:tcPr>
            <w:tcW w:w="1023" w:type="dxa"/>
            <w:tcBorders>
              <w:top w:val="nil"/>
              <w:left w:val="nil"/>
              <w:bottom w:val="nil"/>
              <w:right w:val="nil"/>
            </w:tcBorders>
          </w:tcPr>
          <w:p w:rsidR="00CD06C3" w:rsidRPr="00047903" w:rsidRDefault="00CD06C3" w:rsidP="00CD06C3">
            <w:pPr>
              <w:autoSpaceDE w:val="0"/>
              <w:autoSpaceDN w:val="0"/>
              <w:adjustRightInd w:val="0"/>
              <w:rPr>
                <w:rFonts w:ascii="Arial" w:eastAsiaTheme="minorEastAsia" w:hAnsi="Arial" w:cs="Arial"/>
                <w:color w:val="000000"/>
                <w:sz w:val="22"/>
                <w:szCs w:val="22"/>
                <w:lang w:val="en-US" w:eastAsia="it-IT"/>
              </w:rPr>
            </w:pPr>
            <w:r w:rsidRPr="00047903">
              <w:rPr>
                <w:rFonts w:ascii="Arial" w:eastAsiaTheme="minorEastAsia" w:hAnsi="Arial" w:cs="Arial"/>
                <w:color w:val="000000"/>
                <w:sz w:val="22"/>
                <w:szCs w:val="22"/>
                <w:lang w:val="en-US" w:eastAsia="it-IT"/>
              </w:rPr>
              <w:t>PAT</w:t>
            </w:r>
          </w:p>
        </w:tc>
        <w:tc>
          <w:tcPr>
            <w:tcW w:w="1018" w:type="dxa"/>
            <w:tcBorders>
              <w:top w:val="nil"/>
              <w:left w:val="nil"/>
              <w:bottom w:val="nil"/>
              <w:right w:val="nil"/>
            </w:tcBorders>
            <w:vAlign w:val="bottom"/>
          </w:tcPr>
          <w:p w:rsidR="00CD06C3" w:rsidRPr="00047903" w:rsidRDefault="00CD06C3" w:rsidP="00CD06C3">
            <w:pPr>
              <w:jc w:val="center"/>
              <w:rPr>
                <w:rFonts w:ascii="Arial" w:eastAsia="Times New Roman" w:hAnsi="Arial" w:cs="Arial"/>
                <w:color w:val="000000"/>
                <w:sz w:val="22"/>
                <w:szCs w:val="22"/>
                <w:lang w:eastAsia="it-IT"/>
              </w:rPr>
            </w:pPr>
            <w:r w:rsidRPr="00047903">
              <w:rPr>
                <w:rFonts w:ascii="Arial" w:hAnsi="Arial" w:cs="Arial"/>
                <w:color w:val="000000"/>
                <w:sz w:val="22"/>
                <w:szCs w:val="22"/>
              </w:rPr>
              <w:t>1</w:t>
            </w:r>
            <w:r>
              <w:rPr>
                <w:rFonts w:ascii="Arial" w:hAnsi="Arial" w:cs="Arial"/>
                <w:color w:val="000000"/>
                <w:sz w:val="22"/>
                <w:szCs w:val="22"/>
              </w:rPr>
              <w:t xml:space="preserve">1 </w:t>
            </w:r>
            <w:r w:rsidRPr="00047903">
              <w:rPr>
                <w:rFonts w:ascii="Arial" w:hAnsi="Arial" w:cs="Arial"/>
                <w:color w:val="000000"/>
                <w:sz w:val="22"/>
                <w:szCs w:val="22"/>
              </w:rPr>
              <w:t>±</w:t>
            </w:r>
            <w:r>
              <w:rPr>
                <w:rFonts w:ascii="Arial" w:hAnsi="Arial" w:cs="Arial"/>
                <w:color w:val="000000"/>
                <w:sz w:val="22"/>
                <w:szCs w:val="22"/>
              </w:rPr>
              <w:t xml:space="preserve"> 7</w:t>
            </w:r>
          </w:p>
        </w:tc>
        <w:tc>
          <w:tcPr>
            <w:tcW w:w="1018" w:type="dxa"/>
            <w:tcBorders>
              <w:top w:val="nil"/>
              <w:left w:val="nil"/>
              <w:bottom w:val="nil"/>
              <w:right w:val="nil"/>
            </w:tcBorders>
            <w:vAlign w:val="bottom"/>
          </w:tcPr>
          <w:p w:rsidR="00CD06C3" w:rsidRPr="00047903" w:rsidRDefault="00CD06C3" w:rsidP="00CD06C3">
            <w:pPr>
              <w:jc w:val="center"/>
              <w:rPr>
                <w:rFonts w:ascii="Arial" w:eastAsia="Times New Roman" w:hAnsi="Arial" w:cs="Arial"/>
                <w:color w:val="000000"/>
                <w:sz w:val="22"/>
                <w:szCs w:val="22"/>
                <w:lang w:eastAsia="it-IT"/>
              </w:rPr>
            </w:pPr>
            <w:r>
              <w:rPr>
                <w:rFonts w:ascii="Arial" w:hAnsi="Arial" w:cs="Arial"/>
                <w:color w:val="000000"/>
                <w:sz w:val="22"/>
                <w:szCs w:val="22"/>
              </w:rPr>
              <w:t xml:space="preserve">8 </w:t>
            </w:r>
            <w:r w:rsidRPr="00047903">
              <w:rPr>
                <w:rFonts w:ascii="Arial" w:hAnsi="Arial" w:cs="Arial"/>
                <w:color w:val="000000"/>
                <w:sz w:val="22"/>
                <w:szCs w:val="22"/>
              </w:rPr>
              <w:t>±</w:t>
            </w:r>
            <w:r>
              <w:rPr>
                <w:rFonts w:ascii="Arial" w:hAnsi="Arial" w:cs="Arial"/>
                <w:color w:val="000000"/>
                <w:sz w:val="22"/>
                <w:szCs w:val="22"/>
              </w:rPr>
              <w:t xml:space="preserve"> 4</w:t>
            </w:r>
          </w:p>
        </w:tc>
        <w:tc>
          <w:tcPr>
            <w:tcW w:w="1019"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Pr>
                <w:rFonts w:ascii="Arial" w:hAnsi="Arial" w:cs="Arial"/>
                <w:color w:val="000000"/>
                <w:sz w:val="22"/>
                <w:szCs w:val="22"/>
              </w:rPr>
              <w:t xml:space="preserve">70 </w:t>
            </w:r>
            <w:r w:rsidRPr="00047903">
              <w:rPr>
                <w:rFonts w:ascii="Arial" w:hAnsi="Arial" w:cs="Arial"/>
                <w:color w:val="000000"/>
                <w:sz w:val="22"/>
                <w:szCs w:val="22"/>
              </w:rPr>
              <w:t>±</w:t>
            </w:r>
            <w:r>
              <w:rPr>
                <w:rFonts w:ascii="Arial" w:hAnsi="Arial" w:cs="Arial"/>
                <w:color w:val="000000"/>
                <w:sz w:val="22"/>
                <w:szCs w:val="22"/>
              </w:rPr>
              <w:t xml:space="preserve"> </w:t>
            </w:r>
            <w:r w:rsidRPr="00047903">
              <w:rPr>
                <w:rFonts w:ascii="Arial" w:hAnsi="Arial" w:cs="Arial"/>
                <w:color w:val="000000"/>
                <w:sz w:val="22"/>
                <w:szCs w:val="22"/>
              </w:rPr>
              <w:t>1</w:t>
            </w:r>
            <w:r>
              <w:rPr>
                <w:rFonts w:ascii="Arial" w:hAnsi="Arial" w:cs="Arial"/>
                <w:color w:val="000000"/>
                <w:sz w:val="22"/>
                <w:szCs w:val="22"/>
              </w:rPr>
              <w:t>1</w:t>
            </w:r>
          </w:p>
        </w:tc>
        <w:tc>
          <w:tcPr>
            <w:tcW w:w="1018"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Pr>
                <w:rFonts w:ascii="Arial" w:hAnsi="Arial" w:cs="Arial"/>
                <w:color w:val="000000"/>
                <w:sz w:val="22"/>
                <w:szCs w:val="22"/>
              </w:rPr>
              <w:t xml:space="preserve">68 </w:t>
            </w:r>
            <w:r w:rsidRPr="00047903">
              <w:rPr>
                <w:rFonts w:ascii="Arial" w:hAnsi="Arial" w:cs="Arial"/>
                <w:color w:val="000000"/>
                <w:sz w:val="22"/>
                <w:szCs w:val="22"/>
              </w:rPr>
              <w:t>±</w:t>
            </w:r>
            <w:r>
              <w:rPr>
                <w:rFonts w:ascii="Arial" w:hAnsi="Arial" w:cs="Arial"/>
                <w:color w:val="000000"/>
                <w:sz w:val="22"/>
                <w:szCs w:val="22"/>
              </w:rPr>
              <w:t xml:space="preserve"> 13</w:t>
            </w:r>
          </w:p>
        </w:tc>
        <w:tc>
          <w:tcPr>
            <w:tcW w:w="1018"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sidRPr="00047903">
              <w:rPr>
                <w:rFonts w:ascii="Arial" w:hAnsi="Arial" w:cs="Arial"/>
                <w:color w:val="000000"/>
                <w:sz w:val="22"/>
                <w:szCs w:val="22"/>
              </w:rPr>
              <w:t>1</w:t>
            </w:r>
            <w:r>
              <w:rPr>
                <w:rFonts w:ascii="Arial" w:hAnsi="Arial" w:cs="Arial"/>
                <w:color w:val="000000"/>
                <w:sz w:val="22"/>
                <w:szCs w:val="22"/>
              </w:rPr>
              <w:t xml:space="preserve">7 </w:t>
            </w:r>
            <w:r w:rsidRPr="00047903">
              <w:rPr>
                <w:rFonts w:ascii="Arial" w:hAnsi="Arial" w:cs="Arial"/>
                <w:color w:val="000000"/>
                <w:sz w:val="22"/>
                <w:szCs w:val="22"/>
              </w:rPr>
              <w:t>±</w:t>
            </w:r>
            <w:r>
              <w:rPr>
                <w:rFonts w:ascii="Arial" w:hAnsi="Arial" w:cs="Arial"/>
                <w:color w:val="000000"/>
                <w:sz w:val="22"/>
                <w:szCs w:val="22"/>
              </w:rPr>
              <w:t xml:space="preserve"> 8</w:t>
            </w:r>
          </w:p>
        </w:tc>
        <w:tc>
          <w:tcPr>
            <w:tcW w:w="1019"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Pr>
                <w:rFonts w:ascii="Arial" w:hAnsi="Arial" w:cs="Arial"/>
                <w:color w:val="000000"/>
                <w:sz w:val="22"/>
                <w:szCs w:val="22"/>
              </w:rPr>
              <w:t xml:space="preserve">14 </w:t>
            </w:r>
            <w:r w:rsidRPr="00047903">
              <w:rPr>
                <w:rFonts w:ascii="Arial" w:hAnsi="Arial" w:cs="Arial"/>
                <w:color w:val="000000"/>
                <w:sz w:val="22"/>
                <w:szCs w:val="22"/>
              </w:rPr>
              <w:t>±</w:t>
            </w:r>
            <w:r>
              <w:rPr>
                <w:rFonts w:ascii="Arial" w:hAnsi="Arial" w:cs="Arial"/>
                <w:color w:val="000000"/>
                <w:sz w:val="22"/>
                <w:szCs w:val="22"/>
              </w:rPr>
              <w:t xml:space="preserve"> 8</w:t>
            </w:r>
          </w:p>
        </w:tc>
        <w:tc>
          <w:tcPr>
            <w:tcW w:w="1018"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Pr>
                <w:rFonts w:ascii="Arial" w:hAnsi="Arial" w:cs="Arial"/>
                <w:color w:val="000000"/>
                <w:sz w:val="22"/>
                <w:szCs w:val="22"/>
              </w:rPr>
              <w:t xml:space="preserve">7 </w:t>
            </w:r>
            <w:r w:rsidRPr="00047903">
              <w:rPr>
                <w:rFonts w:ascii="Arial" w:hAnsi="Arial" w:cs="Arial"/>
                <w:color w:val="000000"/>
                <w:sz w:val="22"/>
                <w:szCs w:val="22"/>
              </w:rPr>
              <w:t>±</w:t>
            </w:r>
            <w:r>
              <w:rPr>
                <w:rFonts w:ascii="Arial" w:hAnsi="Arial" w:cs="Arial"/>
                <w:color w:val="000000"/>
                <w:sz w:val="22"/>
                <w:szCs w:val="22"/>
              </w:rPr>
              <w:t xml:space="preserve"> 4</w:t>
            </w:r>
          </w:p>
        </w:tc>
        <w:tc>
          <w:tcPr>
            <w:tcW w:w="1019"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Pr>
                <w:rFonts w:ascii="Arial" w:hAnsi="Arial" w:cs="Arial"/>
                <w:color w:val="000000"/>
                <w:sz w:val="22"/>
                <w:szCs w:val="22"/>
              </w:rPr>
              <w:t xml:space="preserve">12 </w:t>
            </w:r>
            <w:r w:rsidRPr="00047903">
              <w:rPr>
                <w:rFonts w:ascii="Arial" w:hAnsi="Arial" w:cs="Arial"/>
                <w:color w:val="000000"/>
                <w:sz w:val="22"/>
                <w:szCs w:val="22"/>
              </w:rPr>
              <w:t>±</w:t>
            </w:r>
            <w:r>
              <w:rPr>
                <w:rFonts w:ascii="Arial" w:hAnsi="Arial" w:cs="Arial"/>
                <w:color w:val="000000"/>
                <w:sz w:val="22"/>
                <w:szCs w:val="22"/>
              </w:rPr>
              <w:t xml:space="preserve"> 7</w:t>
            </w:r>
          </w:p>
        </w:tc>
      </w:tr>
      <w:tr w:rsidR="00CD06C3" w:rsidTr="00F10AA9">
        <w:trPr>
          <w:trHeight w:val="260"/>
        </w:trPr>
        <w:tc>
          <w:tcPr>
            <w:tcW w:w="1023" w:type="dxa"/>
            <w:tcBorders>
              <w:top w:val="nil"/>
              <w:left w:val="nil"/>
              <w:bottom w:val="nil"/>
              <w:right w:val="nil"/>
            </w:tcBorders>
          </w:tcPr>
          <w:p w:rsidR="00CD06C3" w:rsidRPr="00047903" w:rsidRDefault="00CD06C3" w:rsidP="00CD06C3">
            <w:pPr>
              <w:autoSpaceDE w:val="0"/>
              <w:autoSpaceDN w:val="0"/>
              <w:adjustRightInd w:val="0"/>
              <w:rPr>
                <w:rFonts w:ascii="Arial" w:eastAsiaTheme="minorEastAsia" w:hAnsi="Arial" w:cs="Arial"/>
                <w:color w:val="000000"/>
                <w:sz w:val="22"/>
                <w:szCs w:val="22"/>
                <w:lang w:val="en-US" w:eastAsia="it-IT"/>
              </w:rPr>
            </w:pPr>
            <w:r w:rsidRPr="00047903">
              <w:rPr>
                <w:rFonts w:ascii="Arial" w:eastAsiaTheme="minorEastAsia" w:hAnsi="Arial" w:cs="Arial"/>
                <w:color w:val="000000"/>
                <w:sz w:val="22"/>
                <w:szCs w:val="22"/>
                <w:lang w:val="en-US" w:eastAsia="it-IT"/>
              </w:rPr>
              <w:t>SAT</w:t>
            </w:r>
          </w:p>
        </w:tc>
        <w:tc>
          <w:tcPr>
            <w:tcW w:w="1018" w:type="dxa"/>
            <w:tcBorders>
              <w:top w:val="nil"/>
              <w:left w:val="nil"/>
              <w:bottom w:val="nil"/>
              <w:right w:val="nil"/>
            </w:tcBorders>
            <w:vAlign w:val="bottom"/>
          </w:tcPr>
          <w:p w:rsidR="00CD06C3" w:rsidRPr="00047903" w:rsidRDefault="00CD06C3" w:rsidP="00CD06C3">
            <w:pPr>
              <w:jc w:val="center"/>
              <w:rPr>
                <w:rFonts w:ascii="Arial" w:eastAsia="Times New Roman" w:hAnsi="Arial" w:cs="Arial"/>
                <w:color w:val="000000"/>
                <w:sz w:val="22"/>
                <w:szCs w:val="22"/>
                <w:lang w:eastAsia="it-IT"/>
              </w:rPr>
            </w:pPr>
            <w:r w:rsidRPr="00047903">
              <w:rPr>
                <w:rFonts w:ascii="Arial" w:hAnsi="Arial" w:cs="Arial"/>
                <w:color w:val="000000"/>
                <w:sz w:val="22"/>
                <w:szCs w:val="22"/>
              </w:rPr>
              <w:t>1</w:t>
            </w:r>
            <w:r>
              <w:rPr>
                <w:rFonts w:ascii="Arial" w:hAnsi="Arial" w:cs="Arial"/>
                <w:color w:val="000000"/>
                <w:sz w:val="22"/>
                <w:szCs w:val="22"/>
              </w:rPr>
              <w:t xml:space="preserve">3 </w:t>
            </w:r>
            <w:r w:rsidRPr="00047903">
              <w:rPr>
                <w:rFonts w:ascii="Arial" w:hAnsi="Arial" w:cs="Arial"/>
                <w:color w:val="000000"/>
                <w:sz w:val="22"/>
                <w:szCs w:val="22"/>
              </w:rPr>
              <w:t>±</w:t>
            </w:r>
            <w:r>
              <w:rPr>
                <w:rFonts w:ascii="Arial" w:hAnsi="Arial" w:cs="Arial"/>
                <w:color w:val="000000"/>
                <w:sz w:val="22"/>
                <w:szCs w:val="22"/>
              </w:rPr>
              <w:t xml:space="preserve"> 8</w:t>
            </w:r>
          </w:p>
        </w:tc>
        <w:tc>
          <w:tcPr>
            <w:tcW w:w="1018" w:type="dxa"/>
            <w:tcBorders>
              <w:top w:val="nil"/>
              <w:left w:val="nil"/>
              <w:bottom w:val="nil"/>
              <w:right w:val="nil"/>
            </w:tcBorders>
            <w:vAlign w:val="bottom"/>
          </w:tcPr>
          <w:p w:rsidR="00CD06C3" w:rsidRPr="00047903" w:rsidRDefault="00CD06C3" w:rsidP="00CD06C3">
            <w:pPr>
              <w:jc w:val="center"/>
              <w:rPr>
                <w:rFonts w:ascii="Arial" w:eastAsia="Times New Roman" w:hAnsi="Arial" w:cs="Arial"/>
                <w:color w:val="000000"/>
                <w:sz w:val="22"/>
                <w:szCs w:val="22"/>
                <w:lang w:eastAsia="it-IT"/>
              </w:rPr>
            </w:pPr>
            <w:r w:rsidRPr="00047903">
              <w:rPr>
                <w:rFonts w:ascii="Arial" w:hAnsi="Arial" w:cs="Arial"/>
                <w:color w:val="000000"/>
                <w:sz w:val="22"/>
                <w:szCs w:val="22"/>
              </w:rPr>
              <w:t>1</w:t>
            </w:r>
            <w:r>
              <w:rPr>
                <w:rFonts w:ascii="Arial" w:hAnsi="Arial" w:cs="Arial"/>
                <w:color w:val="000000"/>
                <w:sz w:val="22"/>
                <w:szCs w:val="22"/>
              </w:rPr>
              <w:t xml:space="preserve">1 </w:t>
            </w:r>
            <w:r w:rsidRPr="00047903">
              <w:rPr>
                <w:rFonts w:ascii="Arial" w:hAnsi="Arial" w:cs="Arial"/>
                <w:color w:val="000000"/>
                <w:sz w:val="22"/>
                <w:szCs w:val="22"/>
              </w:rPr>
              <w:t>±</w:t>
            </w:r>
            <w:r>
              <w:rPr>
                <w:rFonts w:ascii="Arial" w:hAnsi="Arial" w:cs="Arial"/>
                <w:color w:val="000000"/>
                <w:sz w:val="22"/>
                <w:szCs w:val="22"/>
              </w:rPr>
              <w:t xml:space="preserve"> 6</w:t>
            </w:r>
          </w:p>
        </w:tc>
        <w:tc>
          <w:tcPr>
            <w:tcW w:w="1019"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sidRPr="00047903">
              <w:rPr>
                <w:rFonts w:ascii="Arial" w:hAnsi="Arial" w:cs="Arial"/>
                <w:color w:val="000000"/>
                <w:sz w:val="22"/>
                <w:szCs w:val="22"/>
              </w:rPr>
              <w:t>6</w:t>
            </w:r>
            <w:r>
              <w:rPr>
                <w:rFonts w:ascii="Arial" w:hAnsi="Arial" w:cs="Arial"/>
                <w:color w:val="000000"/>
                <w:sz w:val="22"/>
                <w:szCs w:val="22"/>
              </w:rPr>
              <w:t xml:space="preserve">4 </w:t>
            </w:r>
            <w:r w:rsidRPr="00047903">
              <w:rPr>
                <w:rFonts w:ascii="Arial" w:hAnsi="Arial" w:cs="Arial"/>
                <w:color w:val="000000"/>
                <w:sz w:val="22"/>
                <w:szCs w:val="22"/>
              </w:rPr>
              <w:t>±</w:t>
            </w:r>
            <w:r>
              <w:rPr>
                <w:rFonts w:ascii="Arial" w:hAnsi="Arial" w:cs="Arial"/>
                <w:color w:val="000000"/>
                <w:sz w:val="22"/>
                <w:szCs w:val="22"/>
              </w:rPr>
              <w:t xml:space="preserve"> 20</w:t>
            </w:r>
          </w:p>
        </w:tc>
        <w:tc>
          <w:tcPr>
            <w:tcW w:w="1018"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Pr>
                <w:rFonts w:ascii="Arial" w:hAnsi="Arial" w:cs="Arial"/>
                <w:color w:val="000000"/>
                <w:sz w:val="22"/>
                <w:szCs w:val="22"/>
              </w:rPr>
              <w:t xml:space="preserve">60 </w:t>
            </w:r>
            <w:r w:rsidRPr="00047903">
              <w:rPr>
                <w:rFonts w:ascii="Arial" w:hAnsi="Arial" w:cs="Arial"/>
                <w:color w:val="000000"/>
                <w:sz w:val="22"/>
                <w:szCs w:val="22"/>
              </w:rPr>
              <w:t>±</w:t>
            </w:r>
            <w:r>
              <w:rPr>
                <w:rFonts w:ascii="Arial" w:hAnsi="Arial" w:cs="Arial"/>
                <w:color w:val="000000"/>
                <w:sz w:val="22"/>
                <w:szCs w:val="22"/>
              </w:rPr>
              <w:t xml:space="preserve"> 13</w:t>
            </w:r>
          </w:p>
        </w:tc>
        <w:tc>
          <w:tcPr>
            <w:tcW w:w="1018"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sidRPr="00047903">
              <w:rPr>
                <w:rFonts w:ascii="Arial" w:hAnsi="Arial" w:cs="Arial"/>
                <w:color w:val="000000"/>
                <w:sz w:val="22"/>
                <w:szCs w:val="22"/>
              </w:rPr>
              <w:t>1</w:t>
            </w:r>
            <w:r>
              <w:rPr>
                <w:rFonts w:ascii="Arial" w:hAnsi="Arial" w:cs="Arial"/>
                <w:color w:val="000000"/>
                <w:sz w:val="22"/>
                <w:szCs w:val="22"/>
              </w:rPr>
              <w:t xml:space="preserve">8 </w:t>
            </w:r>
            <w:r w:rsidRPr="00047903">
              <w:rPr>
                <w:rFonts w:ascii="Arial" w:hAnsi="Arial" w:cs="Arial"/>
                <w:color w:val="000000"/>
                <w:sz w:val="22"/>
                <w:szCs w:val="22"/>
              </w:rPr>
              <w:t>±</w:t>
            </w:r>
            <w:r>
              <w:rPr>
                <w:rFonts w:ascii="Arial" w:hAnsi="Arial" w:cs="Arial"/>
                <w:color w:val="000000"/>
                <w:sz w:val="22"/>
                <w:szCs w:val="22"/>
              </w:rPr>
              <w:t xml:space="preserve"> 10</w:t>
            </w:r>
          </w:p>
        </w:tc>
        <w:tc>
          <w:tcPr>
            <w:tcW w:w="1019"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Pr>
                <w:rFonts w:ascii="Arial" w:hAnsi="Arial" w:cs="Arial"/>
                <w:color w:val="000000"/>
                <w:sz w:val="22"/>
                <w:szCs w:val="22"/>
              </w:rPr>
              <w:t xml:space="preserve">20 </w:t>
            </w:r>
            <w:r w:rsidRPr="00047903">
              <w:rPr>
                <w:rFonts w:ascii="Arial" w:hAnsi="Arial" w:cs="Arial"/>
                <w:color w:val="000000"/>
                <w:sz w:val="22"/>
                <w:szCs w:val="22"/>
              </w:rPr>
              <w:t>±</w:t>
            </w:r>
            <w:r>
              <w:rPr>
                <w:rFonts w:ascii="Arial" w:hAnsi="Arial" w:cs="Arial"/>
                <w:color w:val="000000"/>
                <w:sz w:val="22"/>
                <w:szCs w:val="22"/>
              </w:rPr>
              <w:t xml:space="preserve"> 6</w:t>
            </w:r>
          </w:p>
        </w:tc>
        <w:tc>
          <w:tcPr>
            <w:tcW w:w="1018" w:type="dxa"/>
            <w:tcBorders>
              <w:top w:val="nil"/>
              <w:left w:val="nil"/>
              <w:bottom w:val="nil"/>
              <w:right w:val="nil"/>
            </w:tcBorders>
            <w:vAlign w:val="bottom"/>
          </w:tcPr>
          <w:p w:rsidR="00CD06C3" w:rsidRPr="00047903" w:rsidRDefault="00CD06C3" w:rsidP="00CD06C3">
            <w:pPr>
              <w:jc w:val="center"/>
              <w:rPr>
                <w:rFonts w:ascii="Arial" w:hAnsi="Arial" w:cs="Arial"/>
                <w:color w:val="000000"/>
                <w:sz w:val="22"/>
                <w:szCs w:val="22"/>
              </w:rPr>
            </w:pPr>
            <w:r w:rsidRPr="00047903">
              <w:rPr>
                <w:rFonts w:ascii="Arial" w:hAnsi="Arial" w:cs="Arial"/>
                <w:color w:val="000000"/>
                <w:sz w:val="22"/>
                <w:szCs w:val="22"/>
              </w:rPr>
              <w:t>1</w:t>
            </w:r>
            <w:r>
              <w:rPr>
                <w:rFonts w:ascii="Arial" w:hAnsi="Arial" w:cs="Arial"/>
                <w:color w:val="000000"/>
                <w:sz w:val="22"/>
                <w:szCs w:val="22"/>
              </w:rPr>
              <w:t xml:space="preserve">6 </w:t>
            </w:r>
            <w:r w:rsidRPr="00047903">
              <w:rPr>
                <w:rFonts w:ascii="Arial" w:hAnsi="Arial" w:cs="Arial"/>
                <w:color w:val="000000"/>
                <w:sz w:val="22"/>
                <w:szCs w:val="22"/>
              </w:rPr>
              <w:t>±</w:t>
            </w:r>
            <w:r>
              <w:rPr>
                <w:rFonts w:ascii="Arial" w:hAnsi="Arial" w:cs="Arial"/>
                <w:color w:val="000000"/>
                <w:sz w:val="22"/>
                <w:szCs w:val="22"/>
              </w:rPr>
              <w:t xml:space="preserve"> 10</w:t>
            </w:r>
          </w:p>
        </w:tc>
        <w:tc>
          <w:tcPr>
            <w:tcW w:w="1019" w:type="dxa"/>
            <w:tcBorders>
              <w:top w:val="nil"/>
              <w:left w:val="nil"/>
              <w:bottom w:val="nil"/>
              <w:right w:val="nil"/>
            </w:tcBorders>
            <w:vAlign w:val="bottom"/>
          </w:tcPr>
          <w:p w:rsidR="00CD06C3" w:rsidRPr="00047903" w:rsidRDefault="00BF55E0" w:rsidP="00CD06C3">
            <w:pPr>
              <w:jc w:val="center"/>
              <w:rPr>
                <w:rFonts w:ascii="Arial" w:hAnsi="Arial" w:cs="Arial"/>
                <w:color w:val="000000"/>
                <w:sz w:val="22"/>
                <w:szCs w:val="22"/>
              </w:rPr>
            </w:pPr>
            <w:r>
              <w:rPr>
                <w:rFonts w:ascii="Arial" w:hAnsi="Arial" w:cs="Arial"/>
                <w:color w:val="000000"/>
                <w:sz w:val="22"/>
                <w:szCs w:val="22"/>
              </w:rPr>
              <w:t xml:space="preserve">20 </w:t>
            </w:r>
            <w:r w:rsidRPr="00047903">
              <w:rPr>
                <w:rFonts w:ascii="Arial" w:hAnsi="Arial" w:cs="Arial"/>
                <w:color w:val="000000"/>
                <w:sz w:val="22"/>
                <w:szCs w:val="22"/>
              </w:rPr>
              <w:t>±</w:t>
            </w:r>
            <w:r>
              <w:rPr>
                <w:rFonts w:ascii="Arial" w:hAnsi="Arial" w:cs="Arial"/>
                <w:color w:val="000000"/>
                <w:sz w:val="22"/>
                <w:szCs w:val="22"/>
              </w:rPr>
              <w:t xml:space="preserve"> 7</w:t>
            </w:r>
          </w:p>
        </w:tc>
      </w:tr>
      <w:tr w:rsidR="00CD06C3" w:rsidTr="00F10AA9">
        <w:trPr>
          <w:trHeight w:val="280"/>
        </w:trPr>
        <w:tc>
          <w:tcPr>
            <w:tcW w:w="1023" w:type="dxa"/>
            <w:tcBorders>
              <w:top w:val="nil"/>
              <w:left w:val="nil"/>
              <w:bottom w:val="single" w:sz="6" w:space="0" w:color="auto"/>
              <w:right w:val="nil"/>
            </w:tcBorders>
          </w:tcPr>
          <w:p w:rsidR="00CD06C3" w:rsidRPr="00D35FCC" w:rsidRDefault="00CD06C3" w:rsidP="00CD06C3">
            <w:pPr>
              <w:autoSpaceDE w:val="0"/>
              <w:autoSpaceDN w:val="0"/>
              <w:adjustRightInd w:val="0"/>
              <w:rPr>
                <w:rFonts w:ascii="Arial" w:eastAsiaTheme="minorEastAsia" w:hAnsi="Arial" w:cs="Arial"/>
                <w:color w:val="000000"/>
                <w:sz w:val="20"/>
                <w:szCs w:val="20"/>
                <w:lang w:val="en-US" w:eastAsia="it-IT"/>
              </w:rPr>
            </w:pPr>
          </w:p>
        </w:tc>
        <w:tc>
          <w:tcPr>
            <w:tcW w:w="1018" w:type="dxa"/>
            <w:tcBorders>
              <w:top w:val="nil"/>
              <w:left w:val="nil"/>
              <w:bottom w:val="single" w:sz="6" w:space="0" w:color="auto"/>
              <w:right w:val="nil"/>
            </w:tcBorders>
          </w:tcPr>
          <w:p w:rsidR="00CD06C3" w:rsidRDefault="00CD06C3" w:rsidP="00CD06C3">
            <w:pPr>
              <w:autoSpaceDE w:val="0"/>
              <w:autoSpaceDN w:val="0"/>
              <w:adjustRightInd w:val="0"/>
              <w:jc w:val="center"/>
              <w:rPr>
                <w:rFonts w:ascii="Arial" w:eastAsiaTheme="minorEastAsia" w:hAnsi="Arial" w:cs="Arial"/>
                <w:color w:val="000000"/>
                <w:sz w:val="20"/>
                <w:szCs w:val="20"/>
                <w:lang w:eastAsia="it-IT"/>
              </w:rPr>
            </w:pPr>
          </w:p>
        </w:tc>
        <w:tc>
          <w:tcPr>
            <w:tcW w:w="1018" w:type="dxa"/>
            <w:tcBorders>
              <w:top w:val="nil"/>
              <w:left w:val="nil"/>
              <w:bottom w:val="single" w:sz="6" w:space="0" w:color="auto"/>
              <w:right w:val="nil"/>
            </w:tcBorders>
          </w:tcPr>
          <w:p w:rsidR="00CD06C3" w:rsidRDefault="00CD06C3" w:rsidP="00CD06C3">
            <w:pPr>
              <w:autoSpaceDE w:val="0"/>
              <w:autoSpaceDN w:val="0"/>
              <w:adjustRightInd w:val="0"/>
              <w:jc w:val="center"/>
              <w:rPr>
                <w:rFonts w:ascii="Arial" w:eastAsiaTheme="minorEastAsia" w:hAnsi="Arial" w:cs="Arial"/>
                <w:color w:val="000000"/>
                <w:sz w:val="20"/>
                <w:szCs w:val="20"/>
                <w:lang w:eastAsia="it-IT"/>
              </w:rPr>
            </w:pPr>
          </w:p>
        </w:tc>
        <w:tc>
          <w:tcPr>
            <w:tcW w:w="1019" w:type="dxa"/>
            <w:tcBorders>
              <w:top w:val="nil"/>
              <w:left w:val="nil"/>
              <w:bottom w:val="single" w:sz="6" w:space="0" w:color="auto"/>
              <w:right w:val="nil"/>
            </w:tcBorders>
          </w:tcPr>
          <w:p w:rsidR="00CD06C3" w:rsidRDefault="00CD06C3" w:rsidP="00CD06C3">
            <w:pPr>
              <w:autoSpaceDE w:val="0"/>
              <w:autoSpaceDN w:val="0"/>
              <w:adjustRightInd w:val="0"/>
              <w:jc w:val="center"/>
              <w:rPr>
                <w:rFonts w:ascii="Arial" w:eastAsiaTheme="minorEastAsia" w:hAnsi="Arial" w:cs="Arial"/>
                <w:color w:val="000000"/>
                <w:sz w:val="20"/>
                <w:szCs w:val="20"/>
                <w:lang w:eastAsia="it-IT"/>
              </w:rPr>
            </w:pPr>
          </w:p>
        </w:tc>
        <w:tc>
          <w:tcPr>
            <w:tcW w:w="1018" w:type="dxa"/>
            <w:tcBorders>
              <w:top w:val="nil"/>
              <w:left w:val="nil"/>
              <w:bottom w:val="single" w:sz="6" w:space="0" w:color="auto"/>
              <w:right w:val="nil"/>
            </w:tcBorders>
          </w:tcPr>
          <w:p w:rsidR="00CD06C3" w:rsidRDefault="00CD06C3" w:rsidP="00CD06C3">
            <w:pPr>
              <w:autoSpaceDE w:val="0"/>
              <w:autoSpaceDN w:val="0"/>
              <w:adjustRightInd w:val="0"/>
              <w:jc w:val="center"/>
              <w:rPr>
                <w:rFonts w:ascii="Arial" w:eastAsiaTheme="minorEastAsia" w:hAnsi="Arial" w:cs="Arial"/>
                <w:color w:val="000000"/>
                <w:sz w:val="20"/>
                <w:szCs w:val="20"/>
                <w:lang w:eastAsia="it-IT"/>
              </w:rPr>
            </w:pPr>
          </w:p>
        </w:tc>
        <w:tc>
          <w:tcPr>
            <w:tcW w:w="1018" w:type="dxa"/>
            <w:tcBorders>
              <w:top w:val="nil"/>
              <w:left w:val="nil"/>
              <w:bottom w:val="single" w:sz="6" w:space="0" w:color="auto"/>
              <w:right w:val="nil"/>
            </w:tcBorders>
          </w:tcPr>
          <w:p w:rsidR="00CD06C3" w:rsidRDefault="00CD06C3" w:rsidP="00CD06C3">
            <w:pPr>
              <w:autoSpaceDE w:val="0"/>
              <w:autoSpaceDN w:val="0"/>
              <w:adjustRightInd w:val="0"/>
              <w:jc w:val="center"/>
              <w:rPr>
                <w:rFonts w:ascii="Arial" w:eastAsiaTheme="minorEastAsia" w:hAnsi="Arial" w:cs="Arial"/>
                <w:color w:val="000000"/>
                <w:sz w:val="20"/>
                <w:szCs w:val="20"/>
                <w:lang w:eastAsia="it-IT"/>
              </w:rPr>
            </w:pPr>
          </w:p>
        </w:tc>
        <w:tc>
          <w:tcPr>
            <w:tcW w:w="1019" w:type="dxa"/>
            <w:tcBorders>
              <w:top w:val="nil"/>
              <w:left w:val="nil"/>
              <w:bottom w:val="single" w:sz="6" w:space="0" w:color="auto"/>
              <w:right w:val="nil"/>
            </w:tcBorders>
          </w:tcPr>
          <w:p w:rsidR="00CD06C3" w:rsidRDefault="00CD06C3" w:rsidP="00CD06C3">
            <w:pPr>
              <w:autoSpaceDE w:val="0"/>
              <w:autoSpaceDN w:val="0"/>
              <w:adjustRightInd w:val="0"/>
              <w:jc w:val="center"/>
              <w:rPr>
                <w:rFonts w:ascii="Arial" w:eastAsiaTheme="minorEastAsia" w:hAnsi="Arial" w:cs="Arial"/>
                <w:color w:val="000000"/>
                <w:sz w:val="20"/>
                <w:szCs w:val="20"/>
                <w:lang w:eastAsia="it-IT"/>
              </w:rPr>
            </w:pPr>
          </w:p>
        </w:tc>
        <w:tc>
          <w:tcPr>
            <w:tcW w:w="1018" w:type="dxa"/>
            <w:tcBorders>
              <w:top w:val="nil"/>
              <w:left w:val="nil"/>
              <w:bottom w:val="single" w:sz="6" w:space="0" w:color="auto"/>
              <w:right w:val="nil"/>
            </w:tcBorders>
          </w:tcPr>
          <w:p w:rsidR="00CD06C3" w:rsidRDefault="00CD06C3" w:rsidP="00CD06C3">
            <w:pPr>
              <w:autoSpaceDE w:val="0"/>
              <w:autoSpaceDN w:val="0"/>
              <w:adjustRightInd w:val="0"/>
              <w:jc w:val="center"/>
              <w:rPr>
                <w:rFonts w:ascii="Arial" w:eastAsiaTheme="minorEastAsia" w:hAnsi="Arial" w:cs="Arial"/>
                <w:color w:val="000000"/>
                <w:sz w:val="20"/>
                <w:szCs w:val="20"/>
                <w:lang w:eastAsia="it-IT"/>
              </w:rPr>
            </w:pPr>
          </w:p>
        </w:tc>
        <w:tc>
          <w:tcPr>
            <w:tcW w:w="1019" w:type="dxa"/>
            <w:tcBorders>
              <w:top w:val="nil"/>
              <w:left w:val="nil"/>
              <w:bottom w:val="single" w:sz="6" w:space="0" w:color="auto"/>
              <w:right w:val="nil"/>
            </w:tcBorders>
          </w:tcPr>
          <w:p w:rsidR="00CD06C3" w:rsidRDefault="00CD06C3" w:rsidP="00CD06C3">
            <w:pPr>
              <w:autoSpaceDE w:val="0"/>
              <w:autoSpaceDN w:val="0"/>
              <w:adjustRightInd w:val="0"/>
              <w:jc w:val="center"/>
              <w:rPr>
                <w:rFonts w:ascii="Arial" w:eastAsiaTheme="minorEastAsia" w:hAnsi="Arial" w:cs="Arial"/>
                <w:color w:val="000000"/>
                <w:sz w:val="20"/>
                <w:szCs w:val="20"/>
                <w:lang w:eastAsia="it-IT"/>
              </w:rPr>
            </w:pPr>
          </w:p>
        </w:tc>
      </w:tr>
    </w:tbl>
    <w:p w:rsidR="0085109A" w:rsidRDefault="0085109A">
      <w:pPr>
        <w:rPr>
          <w:rFonts w:ascii="Arial" w:hAnsi="Arial"/>
          <w:i/>
          <w:sz w:val="20"/>
          <w:szCs w:val="20"/>
          <w:lang w:val="en-US"/>
        </w:rPr>
      </w:pPr>
      <w:r>
        <w:rPr>
          <w:rFonts w:ascii="Arial" w:hAnsi="Arial"/>
          <w:i/>
          <w:sz w:val="20"/>
          <w:szCs w:val="20"/>
          <w:lang w:val="en-US"/>
        </w:rPr>
        <w:t>Data are percentages over the total amount of fat and are shown as mean</w:t>
      </w:r>
      <w:r>
        <w:rPr>
          <w:rFonts w:ascii="Arial" w:hAnsi="Arial"/>
          <w:i/>
          <w:sz w:val="20"/>
          <w:szCs w:val="20"/>
          <w:lang w:val="en-US"/>
        </w:rPr>
        <w:sym w:font="Symbol" w:char="F0B1"/>
      </w:r>
      <w:r>
        <w:rPr>
          <w:rFonts w:ascii="Arial" w:hAnsi="Arial"/>
          <w:i/>
          <w:sz w:val="20"/>
          <w:szCs w:val="20"/>
          <w:lang w:val="en-US"/>
        </w:rPr>
        <w:t>SD</w:t>
      </w:r>
    </w:p>
    <w:p w:rsidR="0086605E" w:rsidRDefault="0086605E">
      <w:pPr>
        <w:rPr>
          <w:rFonts w:ascii="Arial" w:hAnsi="Arial"/>
          <w:i/>
          <w:sz w:val="20"/>
          <w:szCs w:val="20"/>
          <w:lang w:val="en-US"/>
        </w:rPr>
      </w:pPr>
      <w:r>
        <w:rPr>
          <w:rFonts w:ascii="Arial" w:hAnsi="Arial"/>
          <w:i/>
          <w:sz w:val="20"/>
          <w:szCs w:val="20"/>
          <w:lang w:val="en-US"/>
        </w:rPr>
        <w:t>* P</w:t>
      </w:r>
      <w:r w:rsidR="008034A6">
        <w:rPr>
          <w:rFonts w:ascii="Arial" w:hAnsi="Arial"/>
          <w:i/>
          <w:sz w:val="20"/>
          <w:szCs w:val="20"/>
          <w:lang w:val="en-US"/>
        </w:rPr>
        <w:t>=</w:t>
      </w:r>
      <w:r>
        <w:rPr>
          <w:rFonts w:ascii="Arial" w:hAnsi="Arial"/>
          <w:i/>
          <w:sz w:val="20"/>
          <w:szCs w:val="20"/>
          <w:lang w:val="en-US"/>
        </w:rPr>
        <w:t>0.0</w:t>
      </w:r>
      <w:r w:rsidR="008034A6">
        <w:rPr>
          <w:rFonts w:ascii="Arial" w:hAnsi="Arial"/>
          <w:i/>
          <w:sz w:val="20"/>
          <w:szCs w:val="20"/>
          <w:lang w:val="en-US"/>
        </w:rPr>
        <w:t>47</w:t>
      </w:r>
      <w:r>
        <w:rPr>
          <w:rFonts w:ascii="Arial" w:hAnsi="Arial"/>
          <w:i/>
          <w:sz w:val="20"/>
          <w:szCs w:val="20"/>
          <w:lang w:val="en-US"/>
        </w:rPr>
        <w:t xml:space="preserve"> in</w:t>
      </w:r>
      <w:r w:rsidR="006F3B85">
        <w:rPr>
          <w:rFonts w:ascii="Arial" w:hAnsi="Arial"/>
          <w:i/>
          <w:sz w:val="20"/>
          <w:szCs w:val="20"/>
          <w:lang w:val="en-US"/>
        </w:rPr>
        <w:t xml:space="preserve"> </w:t>
      </w:r>
      <w:r w:rsidR="00D41E25" w:rsidRPr="00AA0C52">
        <w:rPr>
          <w:rFonts w:ascii="Arial" w:hAnsi="Arial"/>
          <w:i/>
          <w:sz w:val="20"/>
          <w:szCs w:val="20"/>
          <w:lang w:val="en-US"/>
        </w:rPr>
        <w:t>H</w:t>
      </w:r>
      <w:r w:rsidR="00AA0C52">
        <w:rPr>
          <w:rFonts w:ascii="Arial" w:hAnsi="Arial"/>
          <w:i/>
          <w:sz w:val="20"/>
          <w:szCs w:val="20"/>
          <w:lang w:val="en-US"/>
        </w:rPr>
        <w:t>G</w:t>
      </w:r>
      <w:r w:rsidR="006F3B85">
        <w:rPr>
          <w:rFonts w:ascii="Arial" w:hAnsi="Arial"/>
          <w:i/>
          <w:sz w:val="20"/>
          <w:szCs w:val="20"/>
          <w:lang w:val="en-US"/>
        </w:rPr>
        <w:t xml:space="preserve"> </w:t>
      </w:r>
      <w:r w:rsidR="00CB1AC0">
        <w:rPr>
          <w:rFonts w:ascii="Arial" w:hAnsi="Arial"/>
          <w:i/>
          <w:sz w:val="20"/>
          <w:szCs w:val="20"/>
          <w:lang w:val="en-US"/>
        </w:rPr>
        <w:t xml:space="preserve">patients </w:t>
      </w:r>
      <w:r w:rsidR="006F3B85">
        <w:rPr>
          <w:rFonts w:ascii="Arial" w:hAnsi="Arial"/>
          <w:i/>
          <w:sz w:val="20"/>
          <w:szCs w:val="20"/>
          <w:lang w:val="en-US"/>
        </w:rPr>
        <w:t xml:space="preserve">vs </w:t>
      </w:r>
      <w:r w:rsidR="00CB1AC0">
        <w:rPr>
          <w:rFonts w:ascii="Arial" w:hAnsi="Arial"/>
          <w:i/>
          <w:sz w:val="20"/>
          <w:szCs w:val="20"/>
          <w:lang w:val="en-US"/>
        </w:rPr>
        <w:t>non-HG patients</w:t>
      </w:r>
      <w:r w:rsidR="006F3B85">
        <w:rPr>
          <w:rFonts w:ascii="Arial" w:hAnsi="Arial"/>
          <w:i/>
          <w:sz w:val="20"/>
          <w:szCs w:val="20"/>
          <w:lang w:val="en-US"/>
        </w:rPr>
        <w:t xml:space="preserve"> at 1.3 ppm</w:t>
      </w:r>
    </w:p>
    <w:p w:rsidR="0086605E" w:rsidRPr="0085109A" w:rsidRDefault="0086605E">
      <w:pPr>
        <w:rPr>
          <w:lang w:val="en-US"/>
        </w:rPr>
      </w:pPr>
    </w:p>
    <w:sectPr w:rsidR="0086605E" w:rsidRPr="0085109A" w:rsidSect="0022143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06EEE"/>
    <w:multiLevelType w:val="hybridMultilevel"/>
    <w:tmpl w:val="582E46C6"/>
    <w:lvl w:ilvl="0" w:tplc="DE60C9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9A"/>
    <w:rsid w:val="00130284"/>
    <w:rsid w:val="00136F24"/>
    <w:rsid w:val="0014188C"/>
    <w:rsid w:val="00145A3A"/>
    <w:rsid w:val="001C2E25"/>
    <w:rsid w:val="001D65ED"/>
    <w:rsid w:val="00240DC3"/>
    <w:rsid w:val="00255624"/>
    <w:rsid w:val="00396E87"/>
    <w:rsid w:val="003E7DD4"/>
    <w:rsid w:val="004020B5"/>
    <w:rsid w:val="004259BB"/>
    <w:rsid w:val="00443280"/>
    <w:rsid w:val="005212B4"/>
    <w:rsid w:val="005344E5"/>
    <w:rsid w:val="005745BF"/>
    <w:rsid w:val="005B5BD2"/>
    <w:rsid w:val="00680EFC"/>
    <w:rsid w:val="006921BB"/>
    <w:rsid w:val="006A7FA7"/>
    <w:rsid w:val="006F3B85"/>
    <w:rsid w:val="0071428F"/>
    <w:rsid w:val="00786111"/>
    <w:rsid w:val="00797C9F"/>
    <w:rsid w:val="007B4CA4"/>
    <w:rsid w:val="007D738D"/>
    <w:rsid w:val="008034A6"/>
    <w:rsid w:val="0085109A"/>
    <w:rsid w:val="0086605E"/>
    <w:rsid w:val="00932236"/>
    <w:rsid w:val="0095314C"/>
    <w:rsid w:val="00967015"/>
    <w:rsid w:val="009C76E0"/>
    <w:rsid w:val="00A36C11"/>
    <w:rsid w:val="00A63B52"/>
    <w:rsid w:val="00A96585"/>
    <w:rsid w:val="00AA0C52"/>
    <w:rsid w:val="00B600D2"/>
    <w:rsid w:val="00BF14D6"/>
    <w:rsid w:val="00BF55E0"/>
    <w:rsid w:val="00C40D0E"/>
    <w:rsid w:val="00CB1AC0"/>
    <w:rsid w:val="00CD06C3"/>
    <w:rsid w:val="00D0682D"/>
    <w:rsid w:val="00D41E25"/>
    <w:rsid w:val="00D94101"/>
    <w:rsid w:val="00DA76CA"/>
    <w:rsid w:val="00DD2FE0"/>
    <w:rsid w:val="00E35433"/>
    <w:rsid w:val="00F00545"/>
    <w:rsid w:val="00F10AA9"/>
    <w:rsid w:val="00F53408"/>
    <w:rsid w:val="00FC69E0"/>
    <w:rsid w:val="00FF6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BA38"/>
  <w15:docId w15:val="{3A833524-846B-F145-93A5-0B4577E7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5109A"/>
    <w:rPr>
      <w:rFonts w:ascii="Times New Roman" w:eastAsia="MS Mincho" w:hAnsi="Times New Roman" w:cs="Times New Roman"/>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85109A"/>
    <w:pPr>
      <w:ind w:left="720"/>
      <w:contextualSpacing/>
    </w:pPr>
    <w:rPr>
      <w:rFonts w:eastAsia="Batang"/>
      <w:lang w:eastAsia="ko-KR"/>
    </w:rPr>
  </w:style>
  <w:style w:type="character" w:styleId="Rimandocommento">
    <w:name w:val="annotation reference"/>
    <w:basedOn w:val="Carpredefinitoparagrafo"/>
    <w:uiPriority w:val="99"/>
    <w:semiHidden/>
    <w:unhideWhenUsed/>
    <w:rsid w:val="00D0682D"/>
    <w:rPr>
      <w:sz w:val="16"/>
      <w:szCs w:val="16"/>
    </w:rPr>
  </w:style>
  <w:style w:type="paragraph" w:styleId="Testocommento">
    <w:name w:val="annotation text"/>
    <w:basedOn w:val="Normale"/>
    <w:link w:val="TestocommentoCarattere"/>
    <w:uiPriority w:val="99"/>
    <w:semiHidden/>
    <w:unhideWhenUsed/>
    <w:rsid w:val="00D0682D"/>
    <w:rPr>
      <w:sz w:val="20"/>
      <w:szCs w:val="20"/>
    </w:rPr>
  </w:style>
  <w:style w:type="character" w:customStyle="1" w:styleId="TestocommentoCarattere">
    <w:name w:val="Testo commento Carattere"/>
    <w:basedOn w:val="Carpredefinitoparagrafo"/>
    <w:link w:val="Testocommento"/>
    <w:uiPriority w:val="99"/>
    <w:semiHidden/>
    <w:rsid w:val="00D0682D"/>
    <w:rPr>
      <w:rFonts w:ascii="Times New Roman" w:eastAsia="MS Mincho" w:hAnsi="Times New Roman" w:cs="Times New Roman"/>
      <w:sz w:val="20"/>
      <w:szCs w:val="20"/>
      <w:lang w:eastAsia="ja-JP"/>
    </w:rPr>
  </w:style>
  <w:style w:type="paragraph" w:styleId="Soggettocommento">
    <w:name w:val="annotation subject"/>
    <w:basedOn w:val="Testocommento"/>
    <w:next w:val="Testocommento"/>
    <w:link w:val="SoggettocommentoCarattere"/>
    <w:uiPriority w:val="99"/>
    <w:semiHidden/>
    <w:unhideWhenUsed/>
    <w:rsid w:val="00D0682D"/>
    <w:rPr>
      <w:b/>
      <w:bCs/>
    </w:rPr>
  </w:style>
  <w:style w:type="character" w:customStyle="1" w:styleId="SoggettocommentoCarattere">
    <w:name w:val="Soggetto commento Carattere"/>
    <w:basedOn w:val="TestocommentoCarattere"/>
    <w:link w:val="Soggettocommento"/>
    <w:uiPriority w:val="99"/>
    <w:semiHidden/>
    <w:rsid w:val="00D0682D"/>
    <w:rPr>
      <w:rFonts w:ascii="Times New Roman" w:eastAsia="MS Mincho" w:hAnsi="Times New Roman" w:cs="Times New Roman"/>
      <w:b/>
      <w:bCs/>
      <w:sz w:val="20"/>
      <w:szCs w:val="20"/>
      <w:lang w:eastAsia="ja-JP"/>
    </w:rPr>
  </w:style>
  <w:style w:type="paragraph" w:styleId="Testofumetto">
    <w:name w:val="Balloon Text"/>
    <w:basedOn w:val="Normale"/>
    <w:link w:val="TestofumettoCarattere"/>
    <w:uiPriority w:val="99"/>
    <w:semiHidden/>
    <w:unhideWhenUsed/>
    <w:rsid w:val="00D068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682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Codella</dc:creator>
  <cp:lastModifiedBy>Roberto Codella</cp:lastModifiedBy>
  <cp:revision>2</cp:revision>
  <dcterms:created xsi:type="dcterms:W3CDTF">2019-01-07T10:40:00Z</dcterms:created>
  <dcterms:modified xsi:type="dcterms:W3CDTF">2019-01-07T10:40:00Z</dcterms:modified>
</cp:coreProperties>
</file>