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8347C" w:rsidRDefault="00DA1EDC">
      <w:pPr>
        <w:pBdr>
          <w:top w:val="nil"/>
          <w:left w:val="nil"/>
          <w:bottom w:val="nil"/>
          <w:right w:val="nil"/>
          <w:between w:val="nil"/>
        </w:pBdr>
        <w:spacing w:line="326" w:lineRule="auto"/>
        <w:ind w:left="109"/>
        <w:rPr>
          <w:rFonts w:ascii="Miller Headline" w:eastAsia="Miller Headline" w:hAnsi="Miller Headline" w:cs="Miller Headline"/>
          <w:b/>
          <w:bCs/>
          <w:color w:val="000000"/>
          <w:sz w:val="28"/>
          <w:szCs w:val="28"/>
        </w:rPr>
      </w:pPr>
      <w:r>
        <w:rPr>
          <w:rFonts w:ascii="Miller Headline" w:eastAsia="Miller Headline" w:hAnsi="Miller Headline" w:cs="Miller Headline"/>
          <w:b/>
          <w:bCs/>
          <w:color w:val="000000"/>
          <w:sz w:val="28"/>
          <w:szCs w:val="28"/>
        </w:rPr>
        <w:t>The EU’s cryosphere biodiversity blind spot</w:t>
      </w:r>
    </w:p>
    <w:p w14:paraId="00000002" w14:textId="015DFB42" w:rsidR="0048347C" w:rsidRDefault="00DA1EDC">
      <w:pPr>
        <w:pBdr>
          <w:top w:val="nil"/>
          <w:left w:val="nil"/>
          <w:bottom w:val="nil"/>
          <w:right w:val="nil"/>
          <w:between w:val="nil"/>
        </w:pBdr>
        <w:spacing w:line="246" w:lineRule="auto"/>
        <w:ind w:left="109" w:right="76" w:firstLine="180"/>
        <w:rPr>
          <w:rFonts w:ascii="MillerDaily" w:eastAsia="MillerDaily" w:hAnsi="MillerDaily" w:cs="MillerDaily"/>
          <w:color w:val="231F20"/>
          <w:sz w:val="17"/>
          <w:szCs w:val="17"/>
        </w:rPr>
      </w:pPr>
      <w:r>
        <w:rPr>
          <w:rFonts w:ascii="MillerDaily" w:eastAsia="MillerDaily" w:hAnsi="MillerDaily" w:cs="MillerDaily"/>
          <w:color w:val="231F20"/>
          <w:sz w:val="17"/>
          <w:szCs w:val="17"/>
        </w:rPr>
        <w:t xml:space="preserve">The Decade of Action for </w:t>
      </w:r>
      <w:proofErr w:type="spellStart"/>
      <w:r>
        <w:rPr>
          <w:rFonts w:ascii="MillerDaily" w:eastAsia="MillerDaily" w:hAnsi="MillerDaily" w:cs="MillerDaily"/>
          <w:color w:val="231F20"/>
          <w:sz w:val="17"/>
          <w:szCs w:val="17"/>
        </w:rPr>
        <w:t>Cryospheric</w:t>
      </w:r>
      <w:proofErr w:type="spellEnd"/>
      <w:r>
        <w:rPr>
          <w:rFonts w:ascii="MillerDaily" w:eastAsia="MillerDaily" w:hAnsi="MillerDaily" w:cs="MillerDaily"/>
          <w:color w:val="231F20"/>
          <w:sz w:val="17"/>
          <w:szCs w:val="17"/>
        </w:rPr>
        <w:t xml:space="preserve"> Sciences (2025–2034) has begun (</w:t>
      </w:r>
      <w:sdt>
        <w:sdtPr>
          <w:tag w:val="goog_rdk_0"/>
          <w:id w:val="-1062659678"/>
        </w:sdtPr>
        <w:sdtEndPr/>
        <w:sdtContent/>
      </w:sdt>
      <w:r>
        <w:rPr>
          <w:rFonts w:ascii="MillerDaily" w:eastAsia="MillerDaily" w:hAnsi="MillerDaily" w:cs="MillerDaily"/>
          <w:i/>
          <w:iCs/>
          <w:color w:val="231F20"/>
          <w:sz w:val="17"/>
          <w:szCs w:val="17"/>
        </w:rPr>
        <w:t>6</w:t>
      </w:r>
      <w:r>
        <w:rPr>
          <w:rFonts w:ascii="MillerDaily" w:eastAsia="MillerDaily" w:hAnsi="MillerDaily" w:cs="MillerDaily"/>
          <w:color w:val="231F20"/>
          <w:sz w:val="17"/>
          <w:szCs w:val="17"/>
        </w:rPr>
        <w:t>), but international and regional guidelines for managing glacier ecosystems are lacking. In the European Union</w:t>
      </w:r>
      <w:r w:rsidR="008724B1">
        <w:rPr>
          <w:rFonts w:ascii="MillerDaily" w:eastAsia="MillerDaily" w:hAnsi="MillerDaily" w:cs="MillerDaily"/>
          <w:color w:val="231F20"/>
          <w:sz w:val="17"/>
          <w:szCs w:val="17"/>
        </w:rPr>
        <w:t xml:space="preserve"> (EU)</w:t>
      </w:r>
      <w:r>
        <w:rPr>
          <w:rFonts w:ascii="MillerDaily" w:eastAsia="MillerDaily" w:hAnsi="MillerDaily" w:cs="MillerDaily"/>
          <w:color w:val="231F20"/>
          <w:sz w:val="17"/>
          <w:szCs w:val="17"/>
        </w:rPr>
        <w:t>, the only legislative tool acknowledging glaciers as a protected habitat is the EU Habitats Directive (</w:t>
      </w:r>
      <w:r>
        <w:rPr>
          <w:rFonts w:ascii="MillerDaily" w:eastAsia="MillerDaily" w:hAnsi="MillerDaily" w:cs="MillerDaily"/>
          <w:i/>
          <w:iCs/>
          <w:color w:val="231F20"/>
          <w:sz w:val="17"/>
          <w:szCs w:val="17"/>
        </w:rPr>
        <w:t>7</w:t>
      </w:r>
      <w:r>
        <w:rPr>
          <w:rFonts w:ascii="MillerDaily" w:eastAsia="MillerDaily" w:hAnsi="MillerDaily" w:cs="MillerDaily"/>
          <w:color w:val="231F20"/>
          <w:sz w:val="17"/>
          <w:szCs w:val="17"/>
        </w:rPr>
        <w:t>), which</w:t>
      </w:r>
      <w:r w:rsidR="008724B1">
        <w:rPr>
          <w:rFonts w:ascii="MillerDaily" w:eastAsia="MillerDaily" w:hAnsi="MillerDaily" w:cs="MillerDaily"/>
          <w:color w:val="231F20"/>
          <w:sz w:val="17"/>
          <w:szCs w:val="17"/>
        </w:rPr>
        <w:t>, however,</w:t>
      </w:r>
      <w:r>
        <w:rPr>
          <w:rFonts w:ascii="MillerDaily" w:eastAsia="MillerDaily" w:hAnsi="MillerDaily" w:cs="MillerDaily"/>
          <w:color w:val="231F20"/>
          <w:sz w:val="17"/>
          <w:szCs w:val="17"/>
        </w:rPr>
        <w:t xml:space="preserve"> overlooks glacier biodiversity (</w:t>
      </w:r>
      <w:r>
        <w:rPr>
          <w:rFonts w:ascii="MillerDaily" w:eastAsia="MillerDaily" w:hAnsi="MillerDaily" w:cs="MillerDaily"/>
          <w:i/>
          <w:iCs/>
          <w:color w:val="231F20"/>
          <w:sz w:val="17"/>
          <w:szCs w:val="17"/>
        </w:rPr>
        <w:t>3</w:t>
      </w:r>
      <w:r>
        <w:rPr>
          <w:rFonts w:ascii="MillerDaily" w:eastAsia="MillerDaily" w:hAnsi="MillerDaily" w:cs="MillerDaily"/>
          <w:color w:val="231F20"/>
          <w:sz w:val="17"/>
          <w:szCs w:val="17"/>
        </w:rPr>
        <w:t>). The absence of legally mandated biodiversity monitoring is unacceptable in the face of irreversible loss.</w:t>
      </w:r>
    </w:p>
    <w:p w14:paraId="00000003" w14:textId="1FC42E62" w:rsidR="0048347C" w:rsidRDefault="00723270" w:rsidP="00EC7EDD">
      <w:pPr>
        <w:pBdr>
          <w:top w:val="nil"/>
          <w:left w:val="nil"/>
          <w:bottom w:val="nil"/>
          <w:right w:val="nil"/>
          <w:between w:val="nil"/>
        </w:pBdr>
        <w:spacing w:line="247" w:lineRule="auto"/>
        <w:ind w:left="108" w:right="74" w:firstLine="181"/>
        <w:rPr>
          <w:rFonts w:ascii="MillerDaily" w:eastAsia="MillerDaily" w:hAnsi="MillerDaily" w:cs="MillerDaily"/>
          <w:color w:val="231F20"/>
          <w:sz w:val="17"/>
          <w:szCs w:val="17"/>
        </w:rPr>
      </w:pPr>
      <w:sdt>
        <w:sdtPr>
          <w:tag w:val="goog_rdk_5"/>
          <w:id w:val="1589180270"/>
        </w:sdtPr>
        <w:sdtEndPr/>
        <w:sdtContent>
          <w:r w:rsidR="00DA1EDC">
            <w:rPr>
              <w:rFonts w:ascii="MillerDaily" w:eastAsia="MillerDaily" w:hAnsi="MillerDaily" w:cs="MillerDaily"/>
              <w:color w:val="231F20"/>
              <w:sz w:val="17"/>
              <w:szCs w:val="17"/>
            </w:rPr>
            <w:t>The Earth's cryosphere, which includes glaciers, permafrost</w:t>
          </w:r>
          <w:sdt>
            <w:sdtPr>
              <w:tag w:val="goog_rdk_7"/>
              <w:id w:val="956146419"/>
            </w:sdtPr>
            <w:sdtEndPr/>
            <w:sdtContent>
              <w:r w:rsidR="00DA1EDC">
                <w:rPr>
                  <w:rFonts w:ascii="MillerDaily" w:eastAsia="MillerDaily" w:hAnsi="MillerDaily" w:cs="MillerDaily"/>
                  <w:color w:val="231F20"/>
                  <w:sz w:val="17"/>
                  <w:szCs w:val="17"/>
                </w:rPr>
                <w:t xml:space="preserve"> and snow,</w:t>
              </w:r>
            </w:sdtContent>
          </w:sdt>
          <w:r w:rsidR="00DA1EDC">
            <w:rPr>
              <w:rFonts w:ascii="MillerDaily" w:eastAsia="MillerDaily" w:hAnsi="MillerDaily" w:cs="MillerDaily"/>
              <w:color w:val="231F20"/>
              <w:sz w:val="17"/>
              <w:szCs w:val="17"/>
            </w:rPr>
            <w:t xml:space="preserve"> is melting (</w:t>
          </w:r>
          <w:sdt>
            <w:sdtPr>
              <w:tag w:val="goog_rdk_8"/>
              <w:id w:val="446218130"/>
            </w:sdtPr>
            <w:sdtEndPr/>
            <w:sdtContent>
              <w:r w:rsidR="00DA1EDC">
                <w:rPr>
                  <w:rFonts w:ascii="MillerDaily" w:eastAsia="MillerDaily" w:hAnsi="MillerDaily" w:cs="MillerDaily"/>
                  <w:color w:val="231F20"/>
                  <w:sz w:val="17"/>
                  <w:szCs w:val="17"/>
                </w:rPr>
                <w:t>4, 5</w:t>
              </w:r>
            </w:sdtContent>
          </w:sdt>
          <w:r w:rsidR="00DA1EDC">
            <w:rPr>
              <w:rFonts w:ascii="MillerDaily" w:eastAsia="MillerDaily" w:hAnsi="MillerDaily" w:cs="MillerDaily"/>
              <w:color w:val="231F20"/>
              <w:sz w:val="17"/>
              <w:szCs w:val="17"/>
            </w:rPr>
            <w:t>)</w:t>
          </w:r>
        </w:sdtContent>
      </w:sdt>
      <w:r w:rsidR="00DA1EDC">
        <w:rPr>
          <w:rFonts w:ascii="MillerDaily" w:eastAsia="MillerDaily" w:hAnsi="MillerDaily" w:cs="MillerDaily"/>
          <w:color w:val="231F20"/>
          <w:sz w:val="17"/>
          <w:szCs w:val="17"/>
        </w:rPr>
        <w:t>. Glacial ecosystems host highly specialized and often endemic biodiversity</w:t>
      </w:r>
      <w:sdt>
        <w:sdtPr>
          <w:tag w:val="goog_rdk_9"/>
          <w:id w:val="304362077"/>
        </w:sdtPr>
        <w:sdtEndPr/>
        <w:sdtContent>
          <w:r w:rsidR="00DA1EDC">
            <w:rPr>
              <w:rFonts w:ascii="MillerDaily" w:eastAsia="MillerDaily" w:hAnsi="MillerDaily" w:cs="MillerDaily"/>
              <w:color w:val="231F20"/>
              <w:sz w:val="17"/>
              <w:szCs w:val="17"/>
            </w:rPr>
            <w:t xml:space="preserve"> such as</w:t>
          </w:r>
        </w:sdtContent>
      </w:sdt>
      <w:r w:rsidR="00DA1EDC">
        <w:rPr>
          <w:rFonts w:ascii="MillerDaily" w:eastAsia="MillerDaily" w:hAnsi="MillerDaily" w:cs="MillerDaily"/>
          <w:color w:val="231F20"/>
          <w:sz w:val="17"/>
          <w:szCs w:val="17"/>
        </w:rPr>
        <w:t xml:space="preserve"> </w:t>
      </w:r>
      <w:sdt>
        <w:sdtPr>
          <w:tag w:val="goog_rdk_10"/>
          <w:id w:val="-1099332249"/>
        </w:sdtPr>
        <w:sdtEndPr/>
        <w:sdtContent>
          <w:r w:rsidR="00DA1EDC">
            <w:rPr>
              <w:rFonts w:ascii="MillerDaily" w:eastAsia="MillerDaily" w:hAnsi="MillerDaily" w:cs="MillerDaily"/>
              <w:color w:val="231F20"/>
              <w:sz w:val="17"/>
              <w:szCs w:val="17"/>
            </w:rPr>
            <w:t>the Apen</w:t>
          </w:r>
          <w:sdt>
            <w:sdtPr>
              <w:tag w:val="goog_rdk_11"/>
              <w:id w:val="-670441315"/>
            </w:sdtPr>
            <w:sdtEndPr/>
            <w:sdtContent>
              <w:r w:rsidR="00DA1EDC">
                <w:rPr>
                  <w:rFonts w:ascii="MillerDaily" w:eastAsia="MillerDaily" w:hAnsi="MillerDaily" w:cs="MillerDaily"/>
                  <w:color w:val="231F20"/>
                  <w:sz w:val="17"/>
                  <w:szCs w:val="17"/>
                </w:rPr>
                <w:t>nine glacier flea</w:t>
              </w:r>
            </w:sdtContent>
          </w:sdt>
          <w:r w:rsidR="00DA1EDC">
            <w:rPr>
              <w:rFonts w:ascii="MillerDaily" w:eastAsia="MillerDaily" w:hAnsi="MillerDaily" w:cs="MillerDaily"/>
              <w:color w:val="231F20"/>
              <w:sz w:val="17"/>
              <w:szCs w:val="17"/>
            </w:rPr>
            <w:t xml:space="preserve"> </w:t>
          </w:r>
          <w:sdt>
            <w:sdtPr>
              <w:tag w:val="goog_rdk_12"/>
              <w:id w:val="-475266306"/>
            </w:sdtPr>
            <w:sdtEndPr/>
            <w:sdtContent>
              <w:proofErr w:type="spellStart"/>
              <w:r w:rsidR="00DA1EDC" w:rsidRPr="00F27779">
                <w:rPr>
                  <w:rFonts w:ascii="MillerDaily" w:eastAsia="MillerDaily" w:hAnsi="MillerDaily" w:cs="MillerDaily"/>
                  <w:i/>
                  <w:iCs/>
                  <w:color w:val="231F20"/>
                  <w:sz w:val="17"/>
                  <w:szCs w:val="17"/>
                </w:rPr>
                <w:t>Desoria</w:t>
              </w:r>
              <w:proofErr w:type="spellEnd"/>
              <w:r w:rsidR="00DA1EDC" w:rsidRPr="00F27779">
                <w:rPr>
                  <w:rFonts w:ascii="MillerDaily" w:eastAsia="MillerDaily" w:hAnsi="MillerDaily" w:cs="MillerDaily"/>
                  <w:i/>
                  <w:iCs/>
                  <w:color w:val="231F20"/>
                  <w:sz w:val="17"/>
                  <w:szCs w:val="17"/>
                </w:rPr>
                <w:t xml:space="preserve"> </w:t>
              </w:r>
              <w:proofErr w:type="spellStart"/>
              <w:r w:rsidR="00DA1EDC" w:rsidRPr="00F27779">
                <w:rPr>
                  <w:rFonts w:ascii="MillerDaily" w:eastAsia="MillerDaily" w:hAnsi="MillerDaily" w:cs="MillerDaily"/>
                  <w:i/>
                  <w:iCs/>
                  <w:color w:val="231F20"/>
                  <w:sz w:val="17"/>
                  <w:szCs w:val="17"/>
                </w:rPr>
                <w:t>calderonis</w:t>
              </w:r>
              <w:proofErr w:type="spellEnd"/>
            </w:sdtContent>
          </w:sdt>
          <w:sdt>
            <w:sdtPr>
              <w:tag w:val="goog_rdk_13"/>
              <w:id w:val="-1991218281"/>
            </w:sdtPr>
            <w:sdtEndPr/>
            <w:sdtContent>
              <w:r w:rsidR="00DA1EDC">
                <w:rPr>
                  <w:rFonts w:ascii="MillerDaily" w:eastAsia="MillerDaily" w:hAnsi="MillerDaily" w:cs="MillerDaily"/>
                  <w:color w:val="231F20"/>
                  <w:sz w:val="17"/>
                  <w:szCs w:val="17"/>
                </w:rPr>
                <w:t xml:space="preserve"> and</w:t>
              </w:r>
            </w:sdtContent>
          </w:sdt>
          <w:sdt>
            <w:sdtPr>
              <w:tag w:val="goog_rdk_14"/>
              <w:id w:val="1281694464"/>
            </w:sdtPr>
            <w:sdtEndPr/>
            <w:sdtContent>
              <w:r w:rsidR="00DA1EDC">
                <w:rPr>
                  <w:rFonts w:ascii="MillerDaily" w:eastAsia="MillerDaily" w:hAnsi="MillerDaily" w:cs="MillerDaily"/>
                  <w:color w:val="231F20"/>
                  <w:sz w:val="17"/>
                  <w:szCs w:val="17"/>
                </w:rPr>
                <w:t xml:space="preserve"> the Patagonian stonefly </w:t>
              </w:r>
            </w:sdtContent>
          </w:sdt>
          <w:sdt>
            <w:sdtPr>
              <w:tag w:val="goog_rdk_15"/>
              <w:id w:val="1383356625"/>
            </w:sdtPr>
            <w:sdtEndPr/>
            <w:sdtContent>
              <w:proofErr w:type="spellStart"/>
              <w:r w:rsidR="00DA1EDC" w:rsidRPr="00F27779">
                <w:rPr>
                  <w:rFonts w:ascii="MillerDaily" w:eastAsia="MillerDaily" w:hAnsi="MillerDaily" w:cs="MillerDaily"/>
                  <w:i/>
                  <w:iCs/>
                  <w:color w:val="231F20"/>
                  <w:sz w:val="17"/>
                  <w:szCs w:val="17"/>
                </w:rPr>
                <w:t>Andiperla</w:t>
              </w:r>
              <w:proofErr w:type="spellEnd"/>
              <w:r w:rsidR="00DA1EDC" w:rsidRPr="00F27779">
                <w:rPr>
                  <w:rFonts w:ascii="MillerDaily" w:eastAsia="MillerDaily" w:hAnsi="MillerDaily" w:cs="MillerDaily"/>
                  <w:i/>
                  <w:iCs/>
                  <w:color w:val="231F20"/>
                  <w:sz w:val="17"/>
                  <w:szCs w:val="17"/>
                </w:rPr>
                <w:t xml:space="preserve"> </w:t>
              </w:r>
            </w:sdtContent>
          </w:sdt>
          <w:sdt>
            <w:sdtPr>
              <w:tag w:val="goog_rdk_16"/>
              <w:id w:val="-1095741146"/>
            </w:sdtPr>
            <w:sdtEndPr/>
            <w:sdtContent/>
          </w:sdt>
          <w:sdt>
            <w:sdtPr>
              <w:tag w:val="goog_rdk_17"/>
              <w:id w:val="977928517"/>
            </w:sdtPr>
            <w:sdtEndPr/>
            <w:sdtContent>
              <w:proofErr w:type="spellStart"/>
              <w:r w:rsidR="00DA1EDC" w:rsidRPr="00F27779">
                <w:rPr>
                  <w:rFonts w:ascii="MillerDaily" w:eastAsia="MillerDaily" w:hAnsi="MillerDaily" w:cs="MillerDaily"/>
                  <w:i/>
                  <w:iCs/>
                  <w:color w:val="231F20"/>
                  <w:sz w:val="17"/>
                  <w:szCs w:val="17"/>
                </w:rPr>
                <w:t>morenensis</w:t>
              </w:r>
              <w:proofErr w:type="spellEnd"/>
            </w:sdtContent>
          </w:sdt>
          <w:r w:rsidR="00DA1EDC">
            <w:rPr>
              <w:rFonts w:ascii="MillerDaily" w:eastAsia="MillerDaily" w:hAnsi="MillerDaily" w:cs="MillerDaily"/>
              <w:color w:val="231F20"/>
              <w:sz w:val="17"/>
              <w:szCs w:val="17"/>
            </w:rPr>
            <w:t xml:space="preserve"> </w:t>
          </w:r>
        </w:sdtContent>
      </w:sdt>
      <w:r w:rsidR="00DA1EDC">
        <w:rPr>
          <w:rFonts w:ascii="MillerDaily" w:eastAsia="MillerDaily" w:hAnsi="MillerDaily" w:cs="MillerDaily"/>
          <w:color w:val="231F20"/>
          <w:sz w:val="17"/>
          <w:szCs w:val="17"/>
        </w:rPr>
        <w:t>(</w:t>
      </w:r>
      <w:r w:rsidR="00DA1EDC">
        <w:rPr>
          <w:rFonts w:ascii="MillerDaily" w:eastAsia="MillerDaily" w:hAnsi="MillerDaily" w:cs="MillerDaily"/>
          <w:i/>
          <w:iCs/>
          <w:color w:val="231F20"/>
          <w:sz w:val="17"/>
          <w:szCs w:val="17"/>
        </w:rPr>
        <w:t>3</w:t>
      </w:r>
      <w:r w:rsidR="00F27779">
        <w:rPr>
          <w:rFonts w:ascii="MillerDaily" w:eastAsia="MillerDaily" w:hAnsi="MillerDaily" w:cs="MillerDaily"/>
          <w:i/>
          <w:iCs/>
          <w:color w:val="231F20"/>
          <w:sz w:val="17"/>
          <w:szCs w:val="17"/>
        </w:rPr>
        <w:t>-13</w:t>
      </w:r>
      <w:r w:rsidR="00DA1EDC">
        <w:rPr>
          <w:rFonts w:ascii="MillerDaily" w:eastAsia="MillerDaily" w:hAnsi="MillerDaily" w:cs="MillerDaily"/>
          <w:color w:val="231F20"/>
          <w:sz w:val="17"/>
          <w:szCs w:val="17"/>
        </w:rPr>
        <w:t>). However, international assessments of the cryosphere crisis largely overlook glacier biodiversity, focusing instead on glaciers’ melting, hydrological or climatic impacts, and cultural importance (</w:t>
      </w:r>
      <w:r w:rsidR="00DA1EDC">
        <w:rPr>
          <w:rFonts w:ascii="MillerDaily" w:eastAsia="MillerDaily" w:hAnsi="MillerDaily" w:cs="MillerDaily"/>
          <w:i/>
          <w:iCs/>
          <w:color w:val="231F20"/>
          <w:sz w:val="17"/>
          <w:szCs w:val="17"/>
        </w:rPr>
        <w:t>4</w:t>
      </w:r>
      <w:r w:rsidR="00DA1EDC">
        <w:rPr>
          <w:rFonts w:ascii="MillerDaily" w:eastAsia="MillerDaily" w:hAnsi="MillerDaily" w:cs="MillerDaily"/>
          <w:color w:val="231F20"/>
          <w:sz w:val="17"/>
          <w:szCs w:val="17"/>
        </w:rPr>
        <w:t xml:space="preserve">, </w:t>
      </w:r>
      <w:r w:rsidR="00DA1EDC">
        <w:rPr>
          <w:rFonts w:ascii="MillerDaily" w:eastAsia="MillerDaily" w:hAnsi="MillerDaily" w:cs="MillerDaily"/>
          <w:i/>
          <w:iCs/>
          <w:color w:val="231F20"/>
          <w:sz w:val="17"/>
          <w:szCs w:val="17"/>
        </w:rPr>
        <w:t>5</w:t>
      </w:r>
      <w:r w:rsidR="00DA1EDC">
        <w:rPr>
          <w:rFonts w:ascii="MillerDaily" w:eastAsia="MillerDaily" w:hAnsi="MillerDaily" w:cs="MillerDaily"/>
          <w:color w:val="231F20"/>
          <w:sz w:val="17"/>
          <w:szCs w:val="17"/>
        </w:rPr>
        <w:t>). As a result, biodiversity remains peripheral in policies and strategies designed to address glacier loss.</w:t>
      </w:r>
    </w:p>
    <w:p w14:paraId="00000004" w14:textId="754FAE3D" w:rsidR="0048347C" w:rsidRDefault="00DA1EDC">
      <w:pPr>
        <w:pBdr>
          <w:top w:val="nil"/>
          <w:left w:val="nil"/>
          <w:bottom w:val="nil"/>
          <w:right w:val="nil"/>
          <w:between w:val="nil"/>
        </w:pBdr>
        <w:spacing w:line="246" w:lineRule="auto"/>
        <w:ind w:left="109" w:right="76" w:firstLine="180"/>
        <w:rPr>
          <w:rFonts w:ascii="MillerDaily" w:eastAsia="MillerDaily" w:hAnsi="MillerDaily" w:cs="MillerDaily"/>
          <w:color w:val="231F20"/>
          <w:sz w:val="17"/>
          <w:szCs w:val="17"/>
        </w:rPr>
      </w:pPr>
      <w:r>
        <w:rPr>
          <w:rFonts w:ascii="MillerDaily" w:eastAsia="MillerDaily" w:hAnsi="MillerDaily" w:cs="MillerDaily"/>
          <w:color w:val="231F20"/>
          <w:sz w:val="17"/>
          <w:szCs w:val="17"/>
        </w:rPr>
        <w:t xml:space="preserve">To confront this failure, the EU and its member countries should implement integrated and enforceable frameworks to document and preserve glacial biodiversity. Italy, home to alpine glaciers, provided a promising precedent by recognizing glaciers as a “common good” in </w:t>
      </w:r>
      <w:sdt>
        <w:sdtPr>
          <w:tag w:val="goog_rdk_22"/>
          <w:id w:val="-891856645"/>
        </w:sdtPr>
        <w:sdtEndPr/>
        <w:sdtContent>
          <w:r>
            <w:rPr>
              <w:rFonts w:ascii="MillerDaily" w:eastAsia="MillerDaily" w:hAnsi="MillerDaily" w:cs="MillerDaily"/>
              <w:color w:val="231F20"/>
              <w:sz w:val="17"/>
              <w:szCs w:val="17"/>
            </w:rPr>
            <w:t xml:space="preserve">2024 </w:t>
          </w:r>
        </w:sdtContent>
      </w:sdt>
      <w:sdt>
        <w:sdtPr>
          <w:tag w:val="goog_rdk_23"/>
          <w:id w:val="-1294678976"/>
        </w:sdtPr>
        <w:sdtEndPr/>
        <w:sdtContent>
          <w:sdt>
            <w:sdtPr>
              <w:tag w:val="goog_rdk_24"/>
              <w:id w:val="-1184602647"/>
            </w:sdtPr>
            <w:sdtEndPr/>
            <w:sdtContent/>
          </w:sdt>
        </w:sdtContent>
      </w:sdt>
      <w:r>
        <w:rPr>
          <w:rFonts w:ascii="MillerDaily" w:eastAsia="MillerDaily" w:hAnsi="MillerDaily" w:cs="MillerDaily"/>
          <w:color w:val="231F20"/>
          <w:sz w:val="17"/>
          <w:szCs w:val="17"/>
        </w:rPr>
        <w:t>(</w:t>
      </w:r>
      <w:r>
        <w:rPr>
          <w:rFonts w:ascii="MillerDaily" w:eastAsia="MillerDaily" w:hAnsi="MillerDaily" w:cs="MillerDaily"/>
          <w:i/>
          <w:iCs/>
          <w:color w:val="231F20"/>
          <w:sz w:val="17"/>
          <w:szCs w:val="17"/>
        </w:rPr>
        <w:t>12</w:t>
      </w:r>
      <w:r>
        <w:rPr>
          <w:rFonts w:ascii="MillerDaily" w:eastAsia="MillerDaily" w:hAnsi="MillerDaily" w:cs="MillerDaily"/>
          <w:color w:val="231F20"/>
          <w:sz w:val="17"/>
          <w:szCs w:val="17"/>
        </w:rPr>
        <w:t xml:space="preserve">), but the commitment is hollow without a concrete policy that enforces protection. The </w:t>
      </w:r>
      <w:sdt>
        <w:sdtPr>
          <w:tag w:val="goog_rdk_25"/>
          <w:id w:val="-890488315"/>
        </w:sdtPr>
        <w:sdtEndPr/>
        <w:sdtContent/>
      </w:sdt>
      <w:r>
        <w:rPr>
          <w:rFonts w:ascii="MillerDaily" w:eastAsia="MillerDaily" w:hAnsi="MillerDaily" w:cs="MillerDaily"/>
          <w:color w:val="231F20"/>
          <w:sz w:val="17"/>
          <w:szCs w:val="17"/>
        </w:rPr>
        <w:t xml:space="preserve">EU </w:t>
      </w:r>
      <w:sdt>
        <w:sdtPr>
          <w:tag w:val="goog_rdk_27"/>
          <w:id w:val="-696327346"/>
        </w:sdtPr>
        <w:sdtEndPr/>
        <w:sdtContent>
          <w:r>
            <w:rPr>
              <w:rFonts w:ascii="MillerDaily" w:eastAsia="MillerDaily" w:hAnsi="MillerDaily" w:cs="MillerDaily"/>
              <w:color w:val="231F20"/>
              <w:sz w:val="17"/>
              <w:szCs w:val="17"/>
            </w:rPr>
            <w:t xml:space="preserve">and its member countries </w:t>
          </w:r>
        </w:sdtContent>
      </w:sdt>
      <w:r>
        <w:rPr>
          <w:rFonts w:ascii="MillerDaily" w:eastAsia="MillerDaily" w:hAnsi="MillerDaily" w:cs="MillerDaily"/>
          <w:color w:val="231F20"/>
          <w:sz w:val="17"/>
          <w:szCs w:val="17"/>
        </w:rPr>
        <w:t>should establish multidisciplinary panels in glacierized regions to design</w:t>
      </w:r>
      <w:sdt>
        <w:sdtPr>
          <w:tag w:val="goog_rdk_28"/>
          <w:id w:val="1800229352"/>
        </w:sdtPr>
        <w:sdtEndPr/>
        <w:sdtContent>
          <w:r>
            <w:rPr>
              <w:rFonts w:ascii="MillerDaily" w:eastAsia="MillerDaily" w:hAnsi="MillerDaily" w:cs="MillerDaily"/>
              <w:color w:val="231F20"/>
              <w:sz w:val="17"/>
              <w:szCs w:val="17"/>
            </w:rPr>
            <w:t xml:space="preserve"> and coordinate</w:t>
          </w:r>
        </w:sdtContent>
      </w:sdt>
      <w:r>
        <w:rPr>
          <w:rFonts w:ascii="MillerDaily" w:eastAsia="MillerDaily" w:hAnsi="MillerDaily" w:cs="MillerDaily"/>
          <w:color w:val="231F20"/>
          <w:sz w:val="17"/>
          <w:szCs w:val="17"/>
        </w:rPr>
        <w:t xml:space="preserve"> </w:t>
      </w:r>
      <w:sdt>
        <w:sdtPr>
          <w:tag w:val="goog_rdk_29"/>
          <w:id w:val="1859590609"/>
        </w:sdtPr>
        <w:sdtEndPr/>
        <w:sdtContent/>
      </w:sdt>
      <w:r>
        <w:rPr>
          <w:rFonts w:ascii="MillerDaily" w:eastAsia="MillerDaily" w:hAnsi="MillerDaily" w:cs="MillerDaily"/>
          <w:color w:val="231F20"/>
          <w:sz w:val="17"/>
          <w:szCs w:val="17"/>
        </w:rPr>
        <w:t>place-based management strategies (</w:t>
      </w:r>
      <w:r>
        <w:rPr>
          <w:rFonts w:ascii="MillerDaily" w:eastAsia="MillerDaily" w:hAnsi="MillerDaily" w:cs="MillerDaily"/>
          <w:i/>
          <w:iCs/>
          <w:color w:val="231F20"/>
          <w:sz w:val="17"/>
          <w:szCs w:val="17"/>
        </w:rPr>
        <w:t>8</w:t>
      </w:r>
      <w:r>
        <w:rPr>
          <w:rFonts w:ascii="MillerDaily" w:eastAsia="MillerDaily" w:hAnsi="MillerDaily" w:cs="MillerDaily"/>
          <w:color w:val="231F20"/>
          <w:sz w:val="17"/>
          <w:szCs w:val="17"/>
        </w:rPr>
        <w:t>)</w:t>
      </w:r>
      <w:sdt>
        <w:sdtPr>
          <w:tag w:val="goog_rdk_30"/>
          <w:id w:val="1340944329"/>
        </w:sdtPr>
        <w:sdtEndPr/>
        <w:sdtContent>
          <w:sdt>
            <w:sdtPr>
              <w:tag w:val="goog_rdk_31"/>
              <w:id w:val="-1522739547"/>
            </w:sdtPr>
            <w:sdtEndPr/>
            <w:sdtContent>
              <w:r>
                <w:rPr>
                  <w:rFonts w:ascii="MillerDaily" w:eastAsia="MillerDaily" w:hAnsi="MillerDaily" w:cs="MillerDaily"/>
                  <w:color w:val="231F20"/>
                  <w:sz w:val="17"/>
                  <w:szCs w:val="17"/>
                </w:rPr>
                <w:t xml:space="preserve">, such as limiting skiing </w:t>
              </w:r>
            </w:sdtContent>
          </w:sdt>
          <w:sdt>
            <w:sdtPr>
              <w:tag w:val="goog_rdk_32"/>
              <w:id w:val="1272135108"/>
            </w:sdtPr>
            <w:sdtEndPr/>
            <w:sdtContent>
              <w:r>
                <w:rPr>
                  <w:rFonts w:ascii="MillerDaily" w:eastAsia="MillerDaily" w:hAnsi="MillerDaily" w:cs="MillerDaily"/>
                  <w:color w:val="231F20"/>
                  <w:sz w:val="17"/>
                  <w:szCs w:val="17"/>
                </w:rPr>
                <w:t>activities</w:t>
              </w:r>
            </w:sdtContent>
          </w:sdt>
          <w:sdt>
            <w:sdtPr>
              <w:tag w:val="goog_rdk_33"/>
              <w:id w:val="1163141347"/>
            </w:sdtPr>
            <w:sdtEndPr/>
            <w:sdtContent>
              <w:r>
                <w:rPr>
                  <w:rFonts w:ascii="MillerDaily" w:eastAsia="MillerDaily" w:hAnsi="MillerDaily" w:cs="MillerDaily"/>
                  <w:color w:val="231F20"/>
                  <w:sz w:val="17"/>
                  <w:szCs w:val="17"/>
                </w:rPr>
                <w:t xml:space="preserve"> at the sites where endangered glacial species </w:t>
              </w:r>
            </w:sdtContent>
          </w:sdt>
          <w:sdt>
            <w:sdtPr>
              <w:tag w:val="goog_rdk_34"/>
              <w:id w:val="-85422266"/>
            </w:sdtPr>
            <w:sdtEndPr/>
            <w:sdtContent/>
          </w:sdt>
          <w:sdt>
            <w:sdtPr>
              <w:tag w:val="goog_rdk_35"/>
              <w:id w:val="516999687"/>
            </w:sdtPr>
            <w:sdtEndPr/>
            <w:sdtContent>
              <w:r>
                <w:rPr>
                  <w:rFonts w:ascii="MillerDaily" w:eastAsia="MillerDaily" w:hAnsi="MillerDaily" w:cs="MillerDaily"/>
                  <w:color w:val="231F20"/>
                  <w:sz w:val="17"/>
                  <w:szCs w:val="17"/>
                </w:rPr>
                <w:t>occur</w:t>
              </w:r>
            </w:sdtContent>
          </w:sdt>
        </w:sdtContent>
      </w:sdt>
      <w:r w:rsidR="00F27779">
        <w:t xml:space="preserve"> </w:t>
      </w:r>
      <w:r w:rsidR="00F27779" w:rsidRPr="00F27779">
        <w:rPr>
          <w:rFonts w:ascii="MillerDaily" w:eastAsia="MillerDaily" w:hAnsi="MillerDaily" w:cs="MillerDaily"/>
          <w:i/>
          <w:iCs/>
          <w:color w:val="231F20"/>
          <w:sz w:val="17"/>
          <w:szCs w:val="17"/>
        </w:rPr>
        <w:t>(14)</w:t>
      </w:r>
      <w:r w:rsidRPr="00F27779">
        <w:rPr>
          <w:rFonts w:ascii="MillerDaily" w:eastAsia="MillerDaily" w:hAnsi="MillerDaily" w:cs="MillerDaily"/>
          <w:i/>
          <w:iCs/>
          <w:color w:val="231F20"/>
          <w:sz w:val="17"/>
          <w:szCs w:val="17"/>
        </w:rPr>
        <w:t>.</w:t>
      </w:r>
      <w:r>
        <w:rPr>
          <w:rFonts w:ascii="MillerDaily" w:eastAsia="MillerDaily" w:hAnsi="MillerDaily" w:cs="MillerDaily"/>
          <w:color w:val="231F20"/>
          <w:sz w:val="17"/>
          <w:szCs w:val="17"/>
        </w:rPr>
        <w:t xml:space="preserve"> In addition, </w:t>
      </w:r>
      <w:sdt>
        <w:sdtPr>
          <w:tag w:val="goog_rdk_36"/>
          <w:id w:val="-908439592"/>
        </w:sdtPr>
        <w:sdtEndPr/>
        <w:sdtContent/>
      </w:sdt>
      <w:sdt>
        <w:sdtPr>
          <w:tag w:val="goog_rdk_37"/>
          <w:id w:val="-1495392222"/>
        </w:sdtPr>
        <w:sdtEndPr/>
        <w:sdtContent/>
      </w:sdt>
      <w:r>
        <w:rPr>
          <w:rFonts w:ascii="MillerDaily" w:eastAsia="MillerDaily" w:hAnsi="MillerDaily" w:cs="MillerDaily"/>
          <w:color w:val="231F20"/>
          <w:sz w:val="17"/>
          <w:szCs w:val="17"/>
        </w:rPr>
        <w:t xml:space="preserve">EU countries that contain glaciers should adopt legally binding guidelines to ensure systematic biodiversity monitoring and to mitigate harm caused by </w:t>
      </w:r>
      <w:sdt>
        <w:sdtPr>
          <w:tag w:val="goog_rdk_38"/>
          <w:id w:val="1677538496"/>
        </w:sdtPr>
        <w:sdtEndPr/>
        <w:sdtContent/>
      </w:sdt>
      <w:sdt>
        <w:sdtPr>
          <w:tag w:val="goog_rdk_39"/>
          <w:id w:val="-1772129988"/>
        </w:sdtPr>
        <w:sdtEndPr/>
        <w:sdtContent/>
      </w:sdt>
      <w:r>
        <w:rPr>
          <w:rFonts w:ascii="MillerDaily" w:eastAsia="MillerDaily" w:hAnsi="MillerDaily" w:cs="MillerDaily"/>
          <w:color w:val="231F20"/>
          <w:sz w:val="17"/>
          <w:szCs w:val="17"/>
        </w:rPr>
        <w:t>human infrastructure. Finally, even if glaciers disappear, their biodiversity may not be doomed to extinction; some species could survive in cold landforms (</w:t>
      </w:r>
      <w:r>
        <w:rPr>
          <w:rFonts w:ascii="MillerDaily" w:eastAsia="MillerDaily" w:hAnsi="MillerDaily" w:cs="MillerDaily"/>
          <w:i/>
          <w:iCs/>
          <w:color w:val="231F20"/>
          <w:sz w:val="17"/>
          <w:szCs w:val="17"/>
        </w:rPr>
        <w:t>9</w:t>
      </w:r>
      <w:r>
        <w:rPr>
          <w:rFonts w:ascii="MillerDaily" w:eastAsia="MillerDaily" w:hAnsi="MillerDaily" w:cs="MillerDaily"/>
          <w:color w:val="231F20"/>
          <w:sz w:val="17"/>
          <w:szCs w:val="17"/>
        </w:rPr>
        <w:t xml:space="preserve">) that provide stable microclimatic conditions. </w:t>
      </w:r>
      <w:sdt>
        <w:sdtPr>
          <w:tag w:val="goog_rdk_40"/>
          <w:id w:val="-1501605379"/>
        </w:sdtPr>
        <w:sdtEndPr/>
        <w:sdtContent/>
      </w:sdt>
      <w:r>
        <w:rPr>
          <w:rFonts w:ascii="MillerDaily" w:eastAsia="MillerDaily" w:hAnsi="MillerDaily" w:cs="MillerDaily"/>
          <w:color w:val="231F20"/>
          <w:sz w:val="17"/>
          <w:szCs w:val="17"/>
        </w:rPr>
        <w:t xml:space="preserve">Identifying climatic refugia </w:t>
      </w:r>
      <w:sdt>
        <w:sdtPr>
          <w:tag w:val="goog_rdk_41"/>
          <w:id w:val="1561889738"/>
        </w:sdtPr>
        <w:sdtEndPr/>
        <w:sdtContent>
          <w:r>
            <w:rPr>
              <w:rFonts w:ascii="MillerDaily" w:eastAsia="MillerDaily" w:hAnsi="MillerDaily" w:cs="MillerDaily"/>
              <w:color w:val="231F20"/>
              <w:sz w:val="17"/>
              <w:szCs w:val="17"/>
            </w:rPr>
            <w:t xml:space="preserve">will allow the definition of </w:t>
          </w:r>
          <w:sdt>
            <w:sdtPr>
              <w:tag w:val="goog_rdk_42"/>
              <w:id w:val="-830075659"/>
            </w:sdtPr>
            <w:sdtEndPr/>
            <w:sdtContent>
              <w:r>
                <w:rPr>
                  <w:rFonts w:ascii="MillerDaily" w:eastAsia="MillerDaily" w:hAnsi="MillerDaily" w:cs="MillerDaily"/>
                  <w:color w:val="231F20"/>
                  <w:sz w:val="17"/>
                  <w:szCs w:val="17"/>
                </w:rPr>
                <w:t xml:space="preserve">strictly-protected sites where preventing </w:t>
              </w:r>
            </w:sdtContent>
          </w:sdt>
        </w:sdtContent>
      </w:sdt>
      <w:r>
        <w:rPr>
          <w:rFonts w:ascii="MillerDaily" w:eastAsia="MillerDaily" w:hAnsi="MillerDaily" w:cs="MillerDaily"/>
          <w:color w:val="231F20"/>
          <w:sz w:val="17"/>
          <w:szCs w:val="17"/>
        </w:rPr>
        <w:t>biodiversity loss (</w:t>
      </w:r>
      <w:r>
        <w:rPr>
          <w:rFonts w:ascii="MillerDaily" w:eastAsia="MillerDaily" w:hAnsi="MillerDaily" w:cs="MillerDaily"/>
          <w:i/>
          <w:iCs/>
          <w:color w:val="231F20"/>
          <w:sz w:val="17"/>
          <w:szCs w:val="17"/>
        </w:rPr>
        <w:t>11</w:t>
      </w:r>
      <w:r>
        <w:rPr>
          <w:rFonts w:ascii="MillerDaily" w:eastAsia="MillerDaily" w:hAnsi="MillerDaily" w:cs="MillerDaily"/>
          <w:color w:val="231F20"/>
          <w:sz w:val="17"/>
          <w:szCs w:val="17"/>
        </w:rPr>
        <w:t>).</w:t>
      </w:r>
    </w:p>
    <w:p w14:paraId="00000005" w14:textId="77777777" w:rsidR="0048347C" w:rsidRPr="00DA1EDC" w:rsidRDefault="00DA1EDC">
      <w:pPr>
        <w:pBdr>
          <w:top w:val="nil"/>
          <w:left w:val="nil"/>
          <w:bottom w:val="nil"/>
          <w:right w:val="nil"/>
          <w:between w:val="nil"/>
        </w:pBdr>
        <w:spacing w:before="56" w:line="259" w:lineRule="auto"/>
        <w:ind w:left="109"/>
        <w:rPr>
          <w:rFonts w:ascii="BentonSansCondensed Medium" w:eastAsia="BentonSansCondensed Medium" w:hAnsi="BentonSansCondensed Medium" w:cs="BentonSansCondensed Medium"/>
          <w:color w:val="231F20"/>
          <w:sz w:val="20"/>
          <w:szCs w:val="20"/>
          <w:vertAlign w:val="superscript"/>
          <w:lang w:val="it-IT"/>
        </w:rPr>
      </w:pPr>
      <w:r w:rsidRPr="00DA1EDC">
        <w:rPr>
          <w:rFonts w:ascii="BentonSansCondensed Medium" w:eastAsia="BentonSansCondensed Medium" w:hAnsi="BentonSansCondensed Medium" w:cs="BentonSansCondensed Medium"/>
          <w:color w:val="231F20"/>
          <w:sz w:val="17"/>
          <w:szCs w:val="17"/>
          <w:lang w:val="it-IT"/>
        </w:rPr>
        <w:t>Mauro Gobbi</w:t>
      </w:r>
      <w:r w:rsidRPr="00DA1EDC">
        <w:rPr>
          <w:rFonts w:ascii="BentonSansCondensed Medium" w:eastAsia="BentonSansCondensed Medium" w:hAnsi="BentonSansCondensed Medium" w:cs="BentonSansCondensed Medium"/>
          <w:color w:val="231F20"/>
          <w:sz w:val="17"/>
          <w:szCs w:val="17"/>
          <w:vertAlign w:val="superscript"/>
          <w:lang w:val="it-IT"/>
        </w:rPr>
        <w:t>1</w:t>
      </w:r>
      <w:r w:rsidRPr="00DA1EDC">
        <w:rPr>
          <w:rFonts w:ascii="BentonSansCondensed Medium" w:eastAsia="BentonSansCondensed Medium" w:hAnsi="BentonSansCondensed Medium" w:cs="BentonSansCondensed Medium"/>
          <w:color w:val="231F20"/>
          <w:sz w:val="17"/>
          <w:szCs w:val="17"/>
          <w:lang w:val="it-IT"/>
        </w:rPr>
        <w:t>, Barbara Valle</w:t>
      </w:r>
      <w:r w:rsidRPr="00DA1EDC">
        <w:rPr>
          <w:rFonts w:ascii="BentonSansCondensed Medium" w:eastAsia="BentonSansCondensed Medium" w:hAnsi="BentonSansCondensed Medium" w:cs="BentonSansCondensed Medium"/>
          <w:color w:val="231F20"/>
          <w:sz w:val="17"/>
          <w:szCs w:val="17"/>
          <w:vertAlign w:val="superscript"/>
          <w:lang w:val="it-IT"/>
        </w:rPr>
        <w:t>2,3</w:t>
      </w:r>
      <w:r w:rsidRPr="00DA1EDC">
        <w:rPr>
          <w:rFonts w:ascii="BentonSansCondensed Medium" w:eastAsia="BentonSansCondensed Medium" w:hAnsi="BentonSansCondensed Medium" w:cs="BentonSansCondensed Medium"/>
          <w:color w:val="231F20"/>
          <w:sz w:val="17"/>
          <w:szCs w:val="17"/>
          <w:lang w:val="it-IT"/>
        </w:rPr>
        <w:t>, Virginia Toscano Rivalta</w:t>
      </w:r>
      <w:r w:rsidRPr="00DA1EDC">
        <w:rPr>
          <w:rFonts w:ascii="BentonSansCondensed Medium" w:eastAsia="BentonSansCondensed Medium" w:hAnsi="BentonSansCondensed Medium" w:cs="BentonSansCondensed Medium"/>
          <w:color w:val="231F20"/>
          <w:sz w:val="17"/>
          <w:szCs w:val="17"/>
          <w:vertAlign w:val="superscript"/>
          <w:lang w:val="it-IT"/>
        </w:rPr>
        <w:t>1,4</w:t>
      </w:r>
      <w:r w:rsidRPr="00DA1EDC">
        <w:rPr>
          <w:rFonts w:ascii="BentonSansCondensed Medium" w:eastAsia="BentonSansCondensed Medium" w:hAnsi="BentonSansCondensed Medium" w:cs="BentonSansCondensed Medium"/>
          <w:color w:val="231F20"/>
          <w:sz w:val="17"/>
          <w:szCs w:val="17"/>
          <w:lang w:val="it-IT"/>
        </w:rPr>
        <w:t>, Marco Caccianiga</w:t>
      </w:r>
      <w:r w:rsidRPr="00DA1EDC">
        <w:rPr>
          <w:rFonts w:ascii="BentonSansCondensed Medium" w:eastAsia="BentonSansCondensed Medium" w:hAnsi="BentonSansCondensed Medium" w:cs="BentonSansCondensed Medium"/>
          <w:color w:val="231F20"/>
          <w:sz w:val="17"/>
          <w:szCs w:val="17"/>
          <w:vertAlign w:val="superscript"/>
          <w:lang w:val="it-IT"/>
        </w:rPr>
        <w:t>5</w:t>
      </w:r>
      <w:r w:rsidRPr="00DA1EDC">
        <w:rPr>
          <w:rFonts w:ascii="BentonSansCondensed Medium" w:eastAsia="BentonSansCondensed Medium" w:hAnsi="BentonSansCondensed Medium" w:cs="BentonSansCondensed Medium"/>
          <w:color w:val="231F20"/>
          <w:sz w:val="17"/>
          <w:szCs w:val="17"/>
          <w:lang w:val="it-IT"/>
        </w:rPr>
        <w:t>, Valeria Lencioni</w:t>
      </w:r>
      <w:r w:rsidRPr="00DA1EDC">
        <w:rPr>
          <w:rFonts w:ascii="BentonSansCondensed Medium" w:eastAsia="BentonSansCondensed Medium" w:hAnsi="BentonSansCondensed Medium" w:cs="BentonSansCondensed Medium"/>
          <w:color w:val="231F20"/>
          <w:sz w:val="17"/>
          <w:szCs w:val="17"/>
          <w:vertAlign w:val="superscript"/>
          <w:lang w:val="it-IT"/>
        </w:rPr>
        <w:t>1</w:t>
      </w:r>
      <w:r w:rsidRPr="00DA1EDC">
        <w:rPr>
          <w:rFonts w:ascii="BentonSansCondensed Medium" w:eastAsia="BentonSansCondensed Medium" w:hAnsi="BentonSansCondensed Medium" w:cs="BentonSansCondensed Medium"/>
          <w:color w:val="231F20"/>
          <w:sz w:val="17"/>
          <w:szCs w:val="17"/>
          <w:lang w:val="it-IT"/>
        </w:rPr>
        <w:t>, Roberto Ambrosini</w:t>
      </w:r>
      <w:r w:rsidRPr="00DA1EDC">
        <w:rPr>
          <w:rFonts w:ascii="BentonSansCondensed Medium" w:eastAsia="BentonSansCondensed Medium" w:hAnsi="BentonSansCondensed Medium" w:cs="BentonSansCondensed Medium"/>
          <w:color w:val="231F20"/>
          <w:sz w:val="17"/>
          <w:szCs w:val="17"/>
          <w:vertAlign w:val="superscript"/>
          <w:lang w:val="it-IT"/>
        </w:rPr>
        <w:t>4,6,7</w:t>
      </w:r>
      <w:r w:rsidRPr="00DA1EDC">
        <w:rPr>
          <w:rFonts w:ascii="BentonSansCondensed Medium" w:eastAsia="BentonSansCondensed Medium" w:hAnsi="BentonSansCondensed Medium" w:cs="BentonSansCondensed Medium"/>
          <w:color w:val="231F20"/>
          <w:sz w:val="17"/>
          <w:szCs w:val="17"/>
          <w:lang w:val="it-IT"/>
        </w:rPr>
        <w:t xml:space="preserve"> Gentile F. Ficetola</w:t>
      </w:r>
      <w:r w:rsidRPr="00DA1EDC">
        <w:rPr>
          <w:rFonts w:ascii="BentonSansCondensed Medium" w:eastAsia="BentonSansCondensed Medium" w:hAnsi="BentonSansCondensed Medium" w:cs="BentonSansCondensed Medium"/>
          <w:color w:val="231F20"/>
          <w:sz w:val="17"/>
          <w:szCs w:val="17"/>
          <w:vertAlign w:val="superscript"/>
          <w:lang w:val="it-IT"/>
        </w:rPr>
        <w:t>4</w:t>
      </w:r>
    </w:p>
    <w:p w14:paraId="00000006" w14:textId="45E45DD5" w:rsidR="0048347C" w:rsidRDefault="00DA1EDC">
      <w:pPr>
        <w:pBdr>
          <w:top w:val="nil"/>
          <w:left w:val="nil"/>
          <w:bottom w:val="nil"/>
          <w:right w:val="nil"/>
          <w:between w:val="nil"/>
        </w:pBdr>
        <w:spacing w:before="56" w:line="259" w:lineRule="auto"/>
        <w:ind w:left="109"/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</w:pPr>
      <w:bookmarkStart w:id="0" w:name="_heading=h.8pjccglopydd" w:colFirst="0" w:colLast="0"/>
      <w:bookmarkEnd w:id="0"/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vertAlign w:val="superscript"/>
        </w:rPr>
        <w:t>1</w:t>
      </w:r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 xml:space="preserve">Research &amp; Museum Collections Office, </w:t>
      </w:r>
      <w:sdt>
        <w:sdtPr>
          <w:tag w:val="goog_rdk_44"/>
          <w:id w:val="762199970"/>
        </w:sdtPr>
        <w:sdtEndPr/>
        <w:sdtContent>
          <w:r>
            <w:rPr>
              <w:rFonts w:ascii="BentonSansCondensed Book" w:eastAsia="BentonSansCondensed Book" w:hAnsi="BentonSansCondensed Book" w:cs="BentonSansCondensed Book"/>
              <w:color w:val="231F20"/>
              <w:sz w:val="14"/>
              <w:szCs w:val="14"/>
            </w:rPr>
            <w:t>MUSE-</w:t>
          </w:r>
        </w:sdtContent>
      </w:sdt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 xml:space="preserve">Museo delle </w:t>
      </w:r>
      <w:proofErr w:type="spellStart"/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>Scienze</w:t>
      </w:r>
      <w:proofErr w:type="spellEnd"/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 xml:space="preserve">, Trento, Italy. </w:t>
      </w:r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vertAlign w:val="superscript"/>
        </w:rPr>
        <w:t>2</w:t>
      </w:r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>Department of Life Sciences, Universit</w:t>
      </w:r>
      <w:sdt>
        <w:sdtPr>
          <w:tag w:val="goog_rdk_46"/>
          <w:id w:val="490783000"/>
        </w:sdtPr>
        <w:sdtEndPr/>
        <w:sdtContent>
          <w:sdt>
            <w:sdtPr>
              <w:tag w:val="goog_rdk_47"/>
              <w:id w:val="-1734577677"/>
            </w:sdtPr>
            <w:sdtEndPr/>
            <w:sdtContent>
              <w:r>
                <w:rPr>
                  <w:rFonts w:ascii="BentonSansCondensed Book" w:eastAsia="BentonSansCondensed Book" w:hAnsi="BentonSansCondensed Book" w:cs="BentonSansCondensed Book"/>
                  <w:color w:val="231F20"/>
                  <w:sz w:val="14"/>
                  <w:szCs w:val="14"/>
                </w:rPr>
                <w:t>à</w:t>
              </w:r>
            </w:sdtContent>
          </w:sdt>
        </w:sdtContent>
      </w:sdt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 xml:space="preserve"> </w:t>
      </w:r>
      <w:sdt>
        <w:sdtPr>
          <w:tag w:val="goog_rdk_49"/>
          <w:id w:val="1806103615"/>
        </w:sdtPr>
        <w:sdtEndPr/>
        <w:sdtContent>
          <w:r>
            <w:rPr>
              <w:rFonts w:ascii="BentonSansCondensed Book" w:eastAsia="BentonSansCondensed Book" w:hAnsi="BentonSansCondensed Book" w:cs="BentonSansCondensed Book"/>
              <w:color w:val="231F20"/>
              <w:sz w:val="14"/>
              <w:szCs w:val="14"/>
            </w:rPr>
            <w:t xml:space="preserve">degli Studi </w:t>
          </w:r>
          <w:sdt>
            <w:sdtPr>
              <w:tag w:val="goog_rdk_50"/>
              <w:id w:val="-1459184459"/>
            </w:sdtPr>
            <w:sdtEndPr/>
            <w:sdtContent>
              <w:r>
                <w:rPr>
                  <w:rFonts w:ascii="BentonSansCondensed Book" w:eastAsia="BentonSansCondensed Book" w:hAnsi="BentonSansCondensed Book" w:cs="BentonSansCondensed Book"/>
                  <w:color w:val="231F20"/>
                  <w:sz w:val="14"/>
                  <w:szCs w:val="14"/>
                </w:rPr>
                <w:t xml:space="preserve">di </w:t>
              </w:r>
            </w:sdtContent>
          </w:sdt>
        </w:sdtContent>
      </w:sdt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 xml:space="preserve">Siena, Siena, Italy. </w:t>
      </w:r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vertAlign w:val="superscript"/>
        </w:rPr>
        <w:t>3</w:t>
      </w:r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 xml:space="preserve">National Biodiversity Future Center, Palermo, Italy. </w:t>
      </w:r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vertAlign w:val="superscript"/>
        </w:rPr>
        <w:t>4</w:t>
      </w:r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 xml:space="preserve">Department of Environmental Science and Policy, Università degli Studi di Milano, Milan, Italy. </w:t>
      </w:r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vertAlign w:val="superscript"/>
        </w:rPr>
        <w:t>5</w:t>
      </w:r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 xml:space="preserve">Department of Biosciences, Università degli Studi di Milano, Milan, Italy. </w:t>
      </w:r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vertAlign w:val="superscript"/>
        </w:rPr>
        <w:t>6</w:t>
      </w:r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>Centre of Applied Studies for the Sustainable Management and Protection of Mountain Areas, Universit</w:t>
      </w:r>
      <w:sdt>
        <w:sdtPr>
          <w:tag w:val="goog_rdk_53"/>
          <w:id w:val="-1046317173"/>
        </w:sdtPr>
        <w:sdtEndPr/>
        <w:sdtContent>
          <w:sdt>
            <w:sdtPr>
              <w:tag w:val="goog_rdk_54"/>
              <w:id w:val="1259176354"/>
            </w:sdtPr>
            <w:sdtEndPr/>
            <w:sdtContent>
              <w:r>
                <w:rPr>
                  <w:rFonts w:ascii="BentonSansCondensed Book" w:eastAsia="BentonSansCondensed Book" w:hAnsi="BentonSansCondensed Book" w:cs="BentonSansCondensed Book"/>
                  <w:color w:val="231F20"/>
                  <w:sz w:val="14"/>
                  <w:szCs w:val="14"/>
                </w:rPr>
                <w:t xml:space="preserve">à degli Studi di </w:t>
              </w:r>
            </w:sdtContent>
          </w:sdt>
        </w:sdtContent>
      </w:sdt>
      <w:sdt>
        <w:sdtPr>
          <w:tag w:val="goog_rdk_55"/>
          <w:id w:val="1581041216"/>
          <w:showingPlcHdr/>
        </w:sdtPr>
        <w:sdtEndPr/>
        <w:sdtContent>
          <w:r w:rsidR="00F27779">
            <w:t xml:space="preserve">     </w:t>
          </w:r>
        </w:sdtContent>
      </w:sdt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>Milan</w:t>
      </w:r>
      <w:sdt>
        <w:sdtPr>
          <w:tag w:val="goog_rdk_56"/>
          <w:id w:val="-1219917933"/>
        </w:sdtPr>
        <w:sdtEndPr/>
        <w:sdtContent>
          <w:r>
            <w:rPr>
              <w:rFonts w:ascii="BentonSansCondensed Book" w:eastAsia="BentonSansCondensed Book" w:hAnsi="BentonSansCondensed Book" w:cs="BentonSansCondensed Book"/>
              <w:color w:val="231F20"/>
              <w:sz w:val="14"/>
              <w:szCs w:val="14"/>
            </w:rPr>
            <w:t>o</w:t>
          </w:r>
        </w:sdtContent>
      </w:sdt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 xml:space="preserve">, </w:t>
      </w:r>
      <w:proofErr w:type="spellStart"/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>Edolo</w:t>
      </w:r>
      <w:proofErr w:type="spellEnd"/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 xml:space="preserve">, Italy. </w:t>
      </w:r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vertAlign w:val="superscript"/>
        </w:rPr>
        <w:t>7</w:t>
      </w:r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>Department of Civil and Environmental Engineering, São Paulo State University, Bauru, Brazil. Email: mauro.gobbi@muse.it</w:t>
      </w:r>
    </w:p>
    <w:p w14:paraId="00000007" w14:textId="77777777" w:rsidR="0048347C" w:rsidRDefault="00723270">
      <w:pPr>
        <w:pBdr>
          <w:top w:val="nil"/>
          <w:left w:val="nil"/>
          <w:bottom w:val="nil"/>
          <w:right w:val="nil"/>
          <w:between w:val="nil"/>
        </w:pBdr>
        <w:spacing w:before="140"/>
        <w:ind w:left="109"/>
        <w:rPr>
          <w:rFonts w:ascii="BentonSans" w:eastAsia="BentonSans" w:hAnsi="BentonSans" w:cs="BentonSans"/>
          <w:b/>
          <w:bCs/>
          <w:smallCaps/>
          <w:color w:val="231F20"/>
          <w:sz w:val="14"/>
          <w:szCs w:val="14"/>
        </w:rPr>
      </w:pPr>
      <w:sdt>
        <w:sdtPr>
          <w:tag w:val="goog_rdk_57"/>
          <w:id w:val="405833020"/>
        </w:sdtPr>
        <w:sdtEndPr/>
        <w:sdtContent/>
      </w:sdt>
      <w:r w:rsidR="00DA1EDC">
        <w:rPr>
          <w:rFonts w:ascii="BentonSans" w:eastAsia="BentonSans" w:hAnsi="BentonSans" w:cs="BentonSans"/>
          <w:b/>
          <w:bCs/>
          <w:smallCaps/>
          <w:color w:val="231F20"/>
          <w:sz w:val="14"/>
          <w:szCs w:val="14"/>
        </w:rPr>
        <w:t>REFERENCES AND NOTES</w:t>
      </w:r>
    </w:p>
    <w:p w14:paraId="00000008" w14:textId="357D0D32" w:rsidR="0048347C" w:rsidRPr="00EC7EDD" w:rsidRDefault="0048347C">
      <w:pPr>
        <w:pBdr>
          <w:top w:val="nil"/>
          <w:left w:val="nil"/>
          <w:bottom w:val="nil"/>
          <w:right w:val="nil"/>
          <w:between w:val="nil"/>
        </w:pBdr>
        <w:tabs>
          <w:tab w:val="left" w:pos="309"/>
        </w:tabs>
        <w:spacing w:before="52" w:line="256" w:lineRule="auto"/>
        <w:ind w:right="153"/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en-GB"/>
        </w:rPr>
      </w:pPr>
    </w:p>
    <w:p w14:paraId="00000009" w14:textId="77777777" w:rsidR="0048347C" w:rsidRDefault="00DA1EDC">
      <w:pPr>
        <w:pBdr>
          <w:top w:val="nil"/>
          <w:left w:val="nil"/>
          <w:bottom w:val="nil"/>
          <w:right w:val="nil"/>
          <w:between w:val="nil"/>
        </w:pBdr>
        <w:tabs>
          <w:tab w:val="left" w:pos="309"/>
        </w:tabs>
        <w:spacing w:before="52" w:line="256" w:lineRule="auto"/>
        <w:ind w:right="153"/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</w:pPr>
      <w:r w:rsidRPr="00EC7EDD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en-GB"/>
        </w:rPr>
        <w:t>2.</w:t>
      </w:r>
      <w:r w:rsidRPr="00EC7EDD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en-GB"/>
        </w:rPr>
        <w:tab/>
        <w:t xml:space="preserve">B. Valle </w:t>
      </w:r>
      <w:r w:rsidRPr="00EC7EDD">
        <w:rPr>
          <w:rFonts w:ascii="BentonSansCondensed Book" w:eastAsia="BentonSansCondensed Book" w:hAnsi="BentonSansCondensed Book" w:cs="BentonSansCondensed Book"/>
          <w:i/>
          <w:iCs/>
          <w:color w:val="231F20"/>
          <w:sz w:val="14"/>
          <w:szCs w:val="14"/>
          <w:lang w:val="en-GB"/>
        </w:rPr>
        <w:t>et al</w:t>
      </w:r>
      <w:r w:rsidRPr="00EC7EDD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en-GB"/>
        </w:rPr>
        <w:t>.</w:t>
      </w:r>
      <w:r w:rsidRPr="00EC7EDD">
        <w:rPr>
          <w:rFonts w:ascii="BentonSansCondensed Book" w:eastAsia="BentonSansCondensed Book" w:hAnsi="BentonSansCondensed Book" w:cs="BentonSansCondensed Book"/>
          <w:i/>
          <w:iCs/>
          <w:color w:val="231F20"/>
          <w:sz w:val="14"/>
          <w:szCs w:val="14"/>
          <w:lang w:val="en-GB"/>
        </w:rPr>
        <w:t>,</w:t>
      </w:r>
      <w:r w:rsidRPr="00EC7EDD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en-GB"/>
        </w:rPr>
        <w:t xml:space="preserve"> </w:t>
      </w:r>
      <w:r w:rsidRPr="00EC7EDD">
        <w:rPr>
          <w:rFonts w:ascii="BentonSansCondensed Book" w:eastAsia="BentonSansCondensed Book" w:hAnsi="BentonSansCondensed Book" w:cs="BentonSansCondensed Book"/>
          <w:i/>
          <w:iCs/>
          <w:color w:val="231F20"/>
          <w:sz w:val="14"/>
          <w:szCs w:val="14"/>
          <w:lang w:val="en-GB"/>
        </w:rPr>
        <w:t xml:space="preserve">J. Zool. </w:t>
      </w:r>
      <w:r>
        <w:rPr>
          <w:rFonts w:ascii="BentonSansCondensed Book" w:eastAsia="BentonSansCondensed Book" w:hAnsi="BentonSansCondensed Book" w:cs="BentonSansCondensed Book"/>
          <w:i/>
          <w:iCs/>
          <w:color w:val="231F20"/>
          <w:sz w:val="14"/>
          <w:szCs w:val="14"/>
        </w:rPr>
        <w:t>Syst. Evol. Res.</w:t>
      </w:r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 xml:space="preserve"> 1616350 (2025).</w:t>
      </w:r>
    </w:p>
    <w:p w14:paraId="0000000A" w14:textId="77777777" w:rsidR="0048347C" w:rsidRDefault="00DA1EDC">
      <w:pPr>
        <w:pBdr>
          <w:top w:val="nil"/>
          <w:left w:val="nil"/>
          <w:bottom w:val="nil"/>
          <w:right w:val="nil"/>
          <w:between w:val="nil"/>
        </w:pBdr>
        <w:tabs>
          <w:tab w:val="left" w:pos="309"/>
        </w:tabs>
        <w:spacing w:before="52" w:line="256" w:lineRule="auto"/>
        <w:ind w:right="153"/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</w:pPr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>3.</w:t>
      </w:r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ab/>
        <w:t xml:space="preserve">A. Crosta </w:t>
      </w:r>
      <w:r>
        <w:rPr>
          <w:rFonts w:ascii="BentonSansCondensed Book" w:eastAsia="BentonSansCondensed Book" w:hAnsi="BentonSansCondensed Book" w:cs="BentonSansCondensed Book"/>
          <w:i/>
          <w:iCs/>
          <w:color w:val="231F20"/>
          <w:sz w:val="14"/>
          <w:szCs w:val="14"/>
        </w:rPr>
        <w:t>et al</w:t>
      </w:r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 xml:space="preserve">. </w:t>
      </w:r>
      <w:r>
        <w:rPr>
          <w:rFonts w:ascii="BentonSansCondensed Book" w:eastAsia="BentonSansCondensed Book" w:hAnsi="BentonSansCondensed Book" w:cs="BentonSansCondensed Book"/>
          <w:i/>
          <w:iCs/>
          <w:color w:val="231F20"/>
          <w:sz w:val="14"/>
          <w:szCs w:val="14"/>
        </w:rPr>
        <w:t>Biol. Rev.</w:t>
      </w:r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 xml:space="preserve"> </w:t>
      </w:r>
      <w:r>
        <w:rPr>
          <w:rFonts w:ascii="BentonSansCondensed Book" w:eastAsia="BentonSansCondensed Book" w:hAnsi="BentonSansCondensed Book" w:cs="BentonSansCondensed Book"/>
          <w:b/>
          <w:bCs/>
          <w:color w:val="231F20"/>
          <w:sz w:val="14"/>
          <w:szCs w:val="14"/>
        </w:rPr>
        <w:t>100</w:t>
      </w:r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>,</w:t>
      </w:r>
      <w:r>
        <w:rPr>
          <w:rFonts w:ascii="BentonSansCondensed Book" w:eastAsia="BentonSansCondensed Book" w:hAnsi="BentonSansCondensed Book" w:cs="BentonSansCondensed Book"/>
          <w:b/>
          <w:bCs/>
          <w:color w:val="231F20"/>
          <w:sz w:val="14"/>
          <w:szCs w:val="14"/>
        </w:rPr>
        <w:t xml:space="preserve"> </w:t>
      </w:r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>227 (2025).</w:t>
      </w:r>
    </w:p>
    <w:p w14:paraId="0000000B" w14:textId="77777777" w:rsidR="0048347C" w:rsidRDefault="00DA1EDC">
      <w:pPr>
        <w:pBdr>
          <w:top w:val="nil"/>
          <w:left w:val="nil"/>
          <w:bottom w:val="nil"/>
          <w:right w:val="nil"/>
          <w:between w:val="nil"/>
        </w:pBdr>
        <w:tabs>
          <w:tab w:val="left" w:pos="309"/>
        </w:tabs>
        <w:spacing w:before="52" w:line="256" w:lineRule="auto"/>
        <w:ind w:right="153"/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</w:pPr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>4.</w:t>
      </w:r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ab/>
        <w:t>ICCI, “State of the Cryosphere 2025: Ice Loss = Global Damage” (International Cryosphere Climate Initiative (ICCI), Stockholm, Sweden, 52 pp, 2025); https://iccinet.org/statecryo25/.</w:t>
      </w:r>
    </w:p>
    <w:p w14:paraId="0000000C" w14:textId="77777777" w:rsidR="0048347C" w:rsidRDefault="00DA1EDC">
      <w:pPr>
        <w:pBdr>
          <w:top w:val="nil"/>
          <w:left w:val="nil"/>
          <w:bottom w:val="nil"/>
          <w:right w:val="nil"/>
          <w:between w:val="nil"/>
        </w:pBdr>
        <w:tabs>
          <w:tab w:val="left" w:pos="309"/>
        </w:tabs>
        <w:spacing w:before="52" w:line="256" w:lineRule="auto"/>
        <w:ind w:right="153"/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</w:pPr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>5.</w:t>
      </w:r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ab/>
        <w:t>Intergovernmental Panel on Climate Change (IPCC), “The Ocean and Cryosphere in a Changing Climate: Special Report of the Intergovernmental Panel on Climate Change” (Cambridge University Press, 2022).</w:t>
      </w:r>
    </w:p>
    <w:p w14:paraId="0000000D" w14:textId="77777777" w:rsidR="0048347C" w:rsidRDefault="00DA1EDC">
      <w:pPr>
        <w:pBdr>
          <w:top w:val="nil"/>
          <w:left w:val="nil"/>
          <w:bottom w:val="nil"/>
          <w:right w:val="nil"/>
          <w:between w:val="nil"/>
        </w:pBdr>
        <w:tabs>
          <w:tab w:val="left" w:pos="309"/>
        </w:tabs>
        <w:spacing w:before="52" w:line="256" w:lineRule="auto"/>
        <w:ind w:right="153"/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</w:pPr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>6.</w:t>
      </w:r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ab/>
        <w:t xml:space="preserve">UNESCO, “The United Nations General Assembly approves the Decade of </w:t>
      </w:r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 xml:space="preserve">Action for </w:t>
      </w:r>
      <w:proofErr w:type="spellStart"/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>Cryospheric</w:t>
      </w:r>
      <w:proofErr w:type="spellEnd"/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 xml:space="preserve"> Sciences (2025–2034)” (2024); https://www.unesco.org/en/articles/united-nations-general-assembly-approves-decade-action-cryospheric-sciences-2025-2034.</w:t>
      </w:r>
    </w:p>
    <w:p w14:paraId="0000000E" w14:textId="77777777" w:rsidR="0048347C" w:rsidRDefault="00DA1EDC">
      <w:pPr>
        <w:pBdr>
          <w:top w:val="nil"/>
          <w:left w:val="nil"/>
          <w:bottom w:val="nil"/>
          <w:right w:val="nil"/>
          <w:between w:val="nil"/>
        </w:pBdr>
        <w:tabs>
          <w:tab w:val="left" w:pos="309"/>
        </w:tabs>
        <w:spacing w:before="52" w:line="256" w:lineRule="auto"/>
        <w:ind w:right="153"/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</w:pPr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>7.</w:t>
      </w:r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ab/>
        <w:t xml:space="preserve">European Commission, “Assessment and reporting under Article 17 of the Habitats Directive: Explanatory Notes &amp; Guidelines for the period 2007–2012. European Topic Centre on Biological Diversity” (2011); </w:t>
      </w:r>
      <w:hyperlink r:id="rId6">
        <w:r>
          <w:rPr>
            <w:rFonts w:ascii="BentonSansCondensed Book" w:eastAsia="BentonSansCondensed Book" w:hAnsi="BentonSansCondensed Book" w:cs="BentonSansCondensed Book"/>
            <w:color w:val="0000FF"/>
            <w:sz w:val="14"/>
            <w:szCs w:val="14"/>
            <w:u w:val="single"/>
          </w:rPr>
          <w:t>https://circabc.europa.eu/sd/a/2c12cea2-f827-4bdb-bb56-3731c9fd8b40/Art17-Guidelines-final.pdf</w:t>
        </w:r>
      </w:hyperlink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>.</w:t>
      </w:r>
    </w:p>
    <w:p w14:paraId="0000000F" w14:textId="77777777" w:rsidR="0048347C" w:rsidRDefault="00DA1EDC">
      <w:pPr>
        <w:pBdr>
          <w:top w:val="nil"/>
          <w:left w:val="nil"/>
          <w:bottom w:val="nil"/>
          <w:right w:val="nil"/>
          <w:between w:val="nil"/>
        </w:pBdr>
        <w:tabs>
          <w:tab w:val="left" w:pos="309"/>
        </w:tabs>
        <w:spacing w:before="52" w:line="256" w:lineRule="auto"/>
        <w:ind w:right="153"/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</w:pPr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>8.</w:t>
      </w:r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ab/>
        <w:t xml:space="preserve">A. Zimmer, T. Beach, J. A. Klein, J. R. Bullard, </w:t>
      </w:r>
      <w:r>
        <w:rPr>
          <w:rFonts w:ascii="BentonSansCondensed Book" w:eastAsia="BentonSansCondensed Book" w:hAnsi="BentonSansCondensed Book" w:cs="BentonSansCondensed Book"/>
          <w:i/>
          <w:iCs/>
          <w:color w:val="231F20"/>
          <w:sz w:val="14"/>
          <w:szCs w:val="14"/>
        </w:rPr>
        <w:t>WIREs Climate</w:t>
      </w:r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 xml:space="preserve"> </w:t>
      </w:r>
      <w:r>
        <w:rPr>
          <w:rFonts w:ascii="BentonSansCondensed Book" w:eastAsia="BentonSansCondensed Book" w:hAnsi="BentonSansCondensed Book" w:cs="BentonSansCondensed Book"/>
          <w:b/>
          <w:bCs/>
          <w:color w:val="231F20"/>
          <w:sz w:val="14"/>
          <w:szCs w:val="14"/>
        </w:rPr>
        <w:t>13</w:t>
      </w:r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>, e753 (2022).</w:t>
      </w:r>
    </w:p>
    <w:p w14:paraId="00000010" w14:textId="77777777" w:rsidR="0048347C" w:rsidRPr="00EC7EDD" w:rsidRDefault="00DA1EDC">
      <w:pPr>
        <w:pBdr>
          <w:top w:val="nil"/>
          <w:left w:val="nil"/>
          <w:bottom w:val="nil"/>
          <w:right w:val="nil"/>
          <w:between w:val="nil"/>
        </w:pBdr>
        <w:tabs>
          <w:tab w:val="left" w:pos="309"/>
        </w:tabs>
        <w:spacing w:before="52" w:line="256" w:lineRule="auto"/>
        <w:ind w:right="153"/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</w:pPr>
      <w:r w:rsidRPr="00F27779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  <w:t>9.</w:t>
      </w:r>
      <w:r w:rsidRPr="00F27779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  <w:tab/>
        <w:t xml:space="preserve">S. Brighenti </w:t>
      </w:r>
      <w:r w:rsidRPr="00F27779">
        <w:rPr>
          <w:rFonts w:ascii="BentonSansCondensed Book" w:eastAsia="BentonSansCondensed Book" w:hAnsi="BentonSansCondensed Book" w:cs="BentonSansCondensed Book"/>
          <w:i/>
          <w:iCs/>
          <w:color w:val="231F20"/>
          <w:sz w:val="14"/>
          <w:szCs w:val="14"/>
          <w:lang w:val="it-IT"/>
        </w:rPr>
        <w:t>et al</w:t>
      </w:r>
      <w:r w:rsidRPr="00F27779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  <w:t xml:space="preserve">. </w:t>
      </w:r>
      <w:proofErr w:type="spellStart"/>
      <w:r w:rsidRPr="00F27779">
        <w:rPr>
          <w:rFonts w:ascii="BentonSansCondensed Book" w:eastAsia="BentonSansCondensed Book" w:hAnsi="BentonSansCondensed Book" w:cs="BentonSansCondensed Book"/>
          <w:i/>
          <w:iCs/>
          <w:color w:val="231F20"/>
          <w:sz w:val="14"/>
          <w:szCs w:val="14"/>
          <w:lang w:val="it-IT"/>
        </w:rPr>
        <w:t>Glob</w:t>
      </w:r>
      <w:proofErr w:type="spellEnd"/>
      <w:r w:rsidRPr="00F27779">
        <w:rPr>
          <w:rFonts w:ascii="BentonSansCondensed Book" w:eastAsia="BentonSansCondensed Book" w:hAnsi="BentonSansCondensed Book" w:cs="BentonSansCondensed Book"/>
          <w:i/>
          <w:iCs/>
          <w:color w:val="231F20"/>
          <w:sz w:val="14"/>
          <w:szCs w:val="14"/>
          <w:lang w:val="it-IT"/>
        </w:rPr>
        <w:t xml:space="preserve">. </w:t>
      </w:r>
      <w:r w:rsidRPr="00EC7EDD">
        <w:rPr>
          <w:rFonts w:ascii="BentonSansCondensed Book" w:eastAsia="BentonSansCondensed Book" w:hAnsi="BentonSansCondensed Book" w:cs="BentonSansCondensed Book"/>
          <w:i/>
          <w:iCs/>
          <w:color w:val="231F20"/>
          <w:sz w:val="14"/>
          <w:szCs w:val="14"/>
          <w:lang w:val="it-IT"/>
        </w:rPr>
        <w:t xml:space="preserve">Chang. </w:t>
      </w:r>
      <w:proofErr w:type="spellStart"/>
      <w:r w:rsidRPr="00EC7EDD">
        <w:rPr>
          <w:rFonts w:ascii="BentonSansCondensed Book" w:eastAsia="BentonSansCondensed Book" w:hAnsi="BentonSansCondensed Book" w:cs="BentonSansCondensed Book"/>
          <w:i/>
          <w:iCs/>
          <w:color w:val="231F20"/>
          <w:sz w:val="14"/>
          <w:szCs w:val="14"/>
          <w:lang w:val="it-IT"/>
        </w:rPr>
        <w:t>Biol</w:t>
      </w:r>
      <w:proofErr w:type="spellEnd"/>
      <w:r w:rsidRPr="00EC7EDD">
        <w:rPr>
          <w:rFonts w:ascii="BentonSansCondensed Book" w:eastAsia="BentonSansCondensed Book" w:hAnsi="BentonSansCondensed Book" w:cs="BentonSansCondensed Book"/>
          <w:i/>
          <w:iCs/>
          <w:color w:val="231F20"/>
          <w:sz w:val="14"/>
          <w:szCs w:val="14"/>
          <w:lang w:val="it-IT"/>
        </w:rPr>
        <w:t>.</w:t>
      </w:r>
      <w:r w:rsidRPr="00EC7EDD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  <w:t xml:space="preserve"> </w:t>
      </w:r>
      <w:r w:rsidRPr="00EC7EDD">
        <w:rPr>
          <w:rFonts w:ascii="BentonSansCondensed Book" w:eastAsia="BentonSansCondensed Book" w:hAnsi="BentonSansCondensed Book" w:cs="BentonSansCondensed Book"/>
          <w:b/>
          <w:bCs/>
          <w:color w:val="231F20"/>
          <w:sz w:val="14"/>
          <w:szCs w:val="14"/>
          <w:lang w:val="it-IT"/>
        </w:rPr>
        <w:t>27</w:t>
      </w:r>
      <w:r w:rsidRPr="00EC7EDD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  <w:t>, 1504 (2021).</w:t>
      </w:r>
    </w:p>
    <w:p w14:paraId="00000012" w14:textId="77777777" w:rsidR="0048347C" w:rsidRPr="00EC7EDD" w:rsidRDefault="00DA1EDC">
      <w:pPr>
        <w:pBdr>
          <w:top w:val="nil"/>
          <w:left w:val="nil"/>
          <w:bottom w:val="nil"/>
          <w:right w:val="nil"/>
          <w:between w:val="nil"/>
        </w:pBdr>
        <w:tabs>
          <w:tab w:val="left" w:pos="309"/>
        </w:tabs>
        <w:spacing w:before="52" w:line="256" w:lineRule="auto"/>
        <w:ind w:right="153"/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</w:pPr>
      <w:r w:rsidRPr="00DA1EDC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  <w:t>11.</w:t>
      </w:r>
      <w:r w:rsidRPr="00DA1EDC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  <w:tab/>
        <w:t xml:space="preserve">T. L. Morelli </w:t>
      </w:r>
      <w:r w:rsidRPr="00DA1EDC">
        <w:rPr>
          <w:rFonts w:ascii="BentonSansCondensed Book" w:eastAsia="BentonSansCondensed Book" w:hAnsi="BentonSansCondensed Book" w:cs="BentonSansCondensed Book"/>
          <w:i/>
          <w:iCs/>
          <w:color w:val="231F20"/>
          <w:sz w:val="14"/>
          <w:szCs w:val="14"/>
          <w:lang w:val="it-IT"/>
        </w:rPr>
        <w:t>et al</w:t>
      </w:r>
      <w:r w:rsidRPr="00DA1EDC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  <w:t xml:space="preserve">., </w:t>
      </w:r>
      <w:proofErr w:type="spellStart"/>
      <w:r w:rsidRPr="00DA1EDC">
        <w:rPr>
          <w:rFonts w:ascii="BentonSansCondensed Book" w:eastAsia="BentonSansCondensed Book" w:hAnsi="BentonSansCondensed Book" w:cs="BentonSansCondensed Book"/>
          <w:i/>
          <w:iCs/>
          <w:color w:val="231F20"/>
          <w:sz w:val="14"/>
          <w:szCs w:val="14"/>
          <w:lang w:val="it-IT"/>
        </w:rPr>
        <w:t>Conserv</w:t>
      </w:r>
      <w:proofErr w:type="spellEnd"/>
      <w:r w:rsidRPr="00DA1EDC">
        <w:rPr>
          <w:rFonts w:ascii="BentonSansCondensed Book" w:eastAsia="BentonSansCondensed Book" w:hAnsi="BentonSansCondensed Book" w:cs="BentonSansCondensed Book"/>
          <w:i/>
          <w:iCs/>
          <w:color w:val="231F20"/>
          <w:sz w:val="14"/>
          <w:szCs w:val="14"/>
          <w:lang w:val="it-IT"/>
        </w:rPr>
        <w:t xml:space="preserve">. </w:t>
      </w:r>
      <w:r w:rsidRPr="00EC7EDD">
        <w:rPr>
          <w:rFonts w:ascii="BentonSansCondensed Book" w:eastAsia="BentonSansCondensed Book" w:hAnsi="BentonSansCondensed Book" w:cs="BentonSansCondensed Book"/>
          <w:i/>
          <w:iCs/>
          <w:color w:val="231F20"/>
          <w:sz w:val="14"/>
          <w:szCs w:val="14"/>
          <w:lang w:val="it-IT"/>
        </w:rPr>
        <w:t xml:space="preserve">Sci. </w:t>
      </w:r>
      <w:proofErr w:type="spellStart"/>
      <w:r w:rsidRPr="00EC7EDD">
        <w:rPr>
          <w:rFonts w:ascii="BentonSansCondensed Book" w:eastAsia="BentonSansCondensed Book" w:hAnsi="BentonSansCondensed Book" w:cs="BentonSansCondensed Book"/>
          <w:i/>
          <w:iCs/>
          <w:color w:val="231F20"/>
          <w:sz w:val="14"/>
          <w:szCs w:val="14"/>
          <w:lang w:val="it-IT"/>
        </w:rPr>
        <w:t>Pract</w:t>
      </w:r>
      <w:proofErr w:type="spellEnd"/>
      <w:r w:rsidRPr="00EC7EDD">
        <w:rPr>
          <w:rFonts w:ascii="BentonSansCondensed Book" w:eastAsia="BentonSansCondensed Book" w:hAnsi="BentonSansCondensed Book" w:cs="BentonSansCondensed Book"/>
          <w:i/>
          <w:iCs/>
          <w:color w:val="231F20"/>
          <w:sz w:val="14"/>
          <w:szCs w:val="14"/>
          <w:lang w:val="it-IT"/>
        </w:rPr>
        <w:t>.</w:t>
      </w:r>
      <w:r w:rsidRPr="00EC7EDD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  <w:t xml:space="preserve"> </w:t>
      </w:r>
      <w:r w:rsidRPr="00EC7EDD">
        <w:rPr>
          <w:rFonts w:ascii="BentonSansCondensed Book" w:eastAsia="BentonSansCondensed Book" w:hAnsi="BentonSansCondensed Book" w:cs="BentonSansCondensed Book"/>
          <w:b/>
          <w:bCs/>
          <w:color w:val="231F20"/>
          <w:sz w:val="14"/>
          <w:szCs w:val="14"/>
          <w:lang w:val="it-IT"/>
        </w:rPr>
        <w:t>8</w:t>
      </w:r>
      <w:r w:rsidRPr="00EC7EDD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  <w:t>, e70160 (2026).</w:t>
      </w:r>
    </w:p>
    <w:p w14:paraId="00000013" w14:textId="7B29DF93" w:rsidR="0048347C" w:rsidRPr="00EC7EDD" w:rsidRDefault="00DA1EDC">
      <w:pPr>
        <w:pBdr>
          <w:top w:val="nil"/>
          <w:left w:val="nil"/>
          <w:bottom w:val="nil"/>
          <w:right w:val="nil"/>
          <w:between w:val="nil"/>
        </w:pBdr>
        <w:tabs>
          <w:tab w:val="left" w:pos="309"/>
        </w:tabs>
        <w:spacing w:before="52" w:line="256" w:lineRule="auto"/>
        <w:ind w:right="153"/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</w:pPr>
      <w:r w:rsidRPr="00EC7EDD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  <w:t>12.</w:t>
      </w:r>
      <w:r w:rsidRPr="00EC7EDD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  <w:tab/>
        <w:t>Corte di Cassazione, Sezioni Unite Civili, Ordinanza n.</w:t>
      </w:r>
      <w:r w:rsidRPr="00EC7EDD">
        <w:rPr>
          <w:rFonts w:ascii="Cambria Math" w:eastAsia="Cambria Math" w:hAnsi="Cambria Math" w:cs="Cambria Math"/>
          <w:color w:val="231F20"/>
          <w:sz w:val="14"/>
          <w:szCs w:val="14"/>
          <w:lang w:val="it-IT"/>
        </w:rPr>
        <w:t> </w:t>
      </w:r>
      <w:r w:rsidRPr="00EC7EDD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  <w:t>4061, 14</w:t>
      </w:r>
      <w:r w:rsidRPr="00EC7EDD">
        <w:rPr>
          <w:rFonts w:ascii="Cambria Math" w:eastAsia="Cambria Math" w:hAnsi="Cambria Math" w:cs="Cambria Math"/>
          <w:color w:val="231F20"/>
          <w:sz w:val="14"/>
          <w:szCs w:val="14"/>
          <w:lang w:val="it-IT"/>
        </w:rPr>
        <w:t> </w:t>
      </w:r>
      <w:proofErr w:type="spellStart"/>
      <w:r w:rsidRPr="00EC7EDD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  <w:t>February</w:t>
      </w:r>
      <w:proofErr w:type="spellEnd"/>
      <w:r w:rsidRPr="00EC7EDD">
        <w:rPr>
          <w:rFonts w:ascii="Cambria Math" w:eastAsia="Cambria Math" w:hAnsi="Cambria Math" w:cs="Cambria Math"/>
          <w:color w:val="231F20"/>
          <w:sz w:val="14"/>
          <w:szCs w:val="14"/>
          <w:lang w:val="it-IT"/>
        </w:rPr>
        <w:t> </w:t>
      </w:r>
      <w:r w:rsidRPr="00EC7EDD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  <w:t>2024 (Rv.</w:t>
      </w:r>
      <w:r w:rsidRPr="00EC7EDD">
        <w:rPr>
          <w:rFonts w:ascii="Cambria Math" w:eastAsia="Cambria Math" w:hAnsi="Cambria Math" w:cs="Cambria Math"/>
          <w:color w:val="231F20"/>
          <w:sz w:val="14"/>
          <w:szCs w:val="14"/>
          <w:lang w:val="it-IT"/>
        </w:rPr>
        <w:t> </w:t>
      </w:r>
      <w:r w:rsidRPr="00EC7EDD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  <w:t xml:space="preserve">670010-01), “On the </w:t>
      </w:r>
      <w:proofErr w:type="spellStart"/>
      <w:r w:rsidRPr="00EC7EDD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  <w:t>qualification</w:t>
      </w:r>
      <w:proofErr w:type="spellEnd"/>
      <w:r w:rsidRPr="00EC7EDD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  <w:t xml:space="preserve"> of </w:t>
      </w:r>
      <w:proofErr w:type="spellStart"/>
      <w:r w:rsidRPr="00EC7EDD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  <w:t>glaciers</w:t>
      </w:r>
      <w:proofErr w:type="spellEnd"/>
      <w:r w:rsidRPr="00EC7EDD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  <w:t xml:space="preserve"> </w:t>
      </w:r>
      <w:proofErr w:type="spellStart"/>
      <w:r w:rsidRPr="00EC7EDD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  <w:t>as</w:t>
      </w:r>
      <w:proofErr w:type="spellEnd"/>
      <w:r w:rsidRPr="00EC7EDD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  <w:t xml:space="preserve"> public </w:t>
      </w:r>
      <w:proofErr w:type="spellStart"/>
      <w:r w:rsidRPr="00EC7EDD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  <w:t>waters</w:t>
      </w:r>
      <w:proofErr w:type="spellEnd"/>
      <w:r w:rsidRPr="00EC7EDD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  <w:t xml:space="preserve"> under </w:t>
      </w:r>
      <w:proofErr w:type="spellStart"/>
      <w:r w:rsidRPr="00EC7EDD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  <w:t>Italian</w:t>
      </w:r>
      <w:proofErr w:type="spellEnd"/>
      <w:r w:rsidRPr="00EC7EDD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  <w:t xml:space="preserve"> </w:t>
      </w:r>
      <w:proofErr w:type="spellStart"/>
      <w:r w:rsidRPr="00EC7EDD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  <w:t>law</w:t>
      </w:r>
      <w:proofErr w:type="spellEnd"/>
      <w:r w:rsidRPr="00EC7EDD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  <w:t xml:space="preserve">” (2024); </w:t>
      </w:r>
      <w:hyperlink r:id="rId7" w:history="1">
        <w:r w:rsidR="00F27779" w:rsidRPr="00EC7EDD">
          <w:rPr>
            <w:rStyle w:val="Collegamentoipertestuale"/>
            <w:rFonts w:ascii="BentonSansCondensed Book" w:eastAsia="BentonSansCondensed Book" w:hAnsi="BentonSansCondensed Book" w:cs="BentonSansCondensed Book"/>
            <w:sz w:val="14"/>
            <w:szCs w:val="14"/>
            <w:lang w:val="it-IT"/>
          </w:rPr>
          <w:t>https://www.foroeuropeo.it/aree-sezioni/cassazione-massime-materie/1038-acque-pubbliche/60563-competenza-e-giurisdizione-ordinaria-e-amministrativa-corte-di-cassazione-sez-u-ordinanza-n-4061-del-14-02-2024-rv-670010-01.html</w:t>
        </w:r>
      </w:hyperlink>
      <w:r w:rsidRPr="00EC7EDD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  <w:t>.</w:t>
      </w:r>
    </w:p>
    <w:p w14:paraId="5F19D262" w14:textId="6950707A" w:rsidR="00F27779" w:rsidRPr="00EC7EDD" w:rsidRDefault="00F27779" w:rsidP="00F27779">
      <w:pPr>
        <w:pBdr>
          <w:top w:val="nil"/>
          <w:left w:val="nil"/>
          <w:bottom w:val="nil"/>
          <w:right w:val="nil"/>
          <w:between w:val="nil"/>
        </w:pBdr>
        <w:tabs>
          <w:tab w:val="left" w:pos="309"/>
        </w:tabs>
        <w:spacing w:before="52" w:line="256" w:lineRule="auto"/>
        <w:ind w:right="153"/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</w:pPr>
      <w:r w:rsidRPr="00CD4D46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  <w:t xml:space="preserve">13. </w:t>
      </w:r>
      <w:r w:rsidR="00CD4D46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  <w:tab/>
      </w:r>
      <w:r w:rsidR="00CD4D46" w:rsidRPr="00CD4D46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  <w:t xml:space="preserve">P. </w:t>
      </w:r>
      <w:proofErr w:type="spellStart"/>
      <w:r w:rsidRPr="00CD4D46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  <w:t>Pessacq</w:t>
      </w:r>
      <w:proofErr w:type="spellEnd"/>
      <w:r w:rsidRPr="00CD4D46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  <w:t xml:space="preserve">, </w:t>
      </w:r>
      <w:r w:rsidR="00CD4D46" w:rsidRPr="00CD4D46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  <w:t xml:space="preserve">R. </w:t>
      </w:r>
      <w:r w:rsidRPr="00CD4D46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  <w:t>Rivera-Pomar,</w:t>
      </w:r>
      <w:r w:rsidR="00CD4D46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  <w:t xml:space="preserve"> </w:t>
      </w:r>
      <w:proofErr w:type="spellStart"/>
      <w:r w:rsidR="00CD4D46" w:rsidRPr="00CD4D46">
        <w:rPr>
          <w:rFonts w:ascii="BentonSansCondensed Book" w:eastAsia="BentonSansCondensed Book" w:hAnsi="BentonSansCondensed Book" w:cs="BentonSansCondensed Book"/>
          <w:i/>
          <w:iCs/>
          <w:color w:val="231F20"/>
          <w:sz w:val="14"/>
          <w:szCs w:val="14"/>
          <w:lang w:val="it-IT"/>
        </w:rPr>
        <w:t>Zootaxa</w:t>
      </w:r>
      <w:proofErr w:type="spellEnd"/>
      <w:r w:rsidR="00CD4D46" w:rsidRPr="00CD4D46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  <w:t xml:space="preserve"> </w:t>
      </w:r>
      <w:r w:rsidRPr="00CD4D46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  <w:t xml:space="preserve"> </w:t>
      </w:r>
      <w:r w:rsidR="00CD4D46" w:rsidRPr="00CD4D46">
        <w:rPr>
          <w:rFonts w:ascii="BentonSansCondensed Book" w:eastAsia="BentonSansCondensed Book" w:hAnsi="BentonSansCondensed Book" w:cs="BentonSansCondensed Book"/>
          <w:b/>
          <w:bCs/>
          <w:color w:val="231F20"/>
          <w:sz w:val="14"/>
          <w:szCs w:val="14"/>
          <w:lang w:val="it-IT"/>
        </w:rPr>
        <w:t>4664</w:t>
      </w:r>
      <w:r w:rsidR="00CD4D46" w:rsidRPr="00CD4D46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  <w:t xml:space="preserve"> </w:t>
      </w:r>
      <w:r w:rsidRPr="00CD4D46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  <w:lang w:val="it-IT"/>
        </w:rPr>
        <w:t xml:space="preserve">(2019). </w:t>
      </w:r>
    </w:p>
    <w:p w14:paraId="18B4A80C" w14:textId="575DD5F7" w:rsidR="00F27779" w:rsidRPr="00CD4D46" w:rsidRDefault="00CD4D46" w:rsidP="00F27779">
      <w:pPr>
        <w:pBdr>
          <w:top w:val="nil"/>
          <w:left w:val="nil"/>
          <w:bottom w:val="nil"/>
          <w:right w:val="nil"/>
          <w:between w:val="nil"/>
        </w:pBd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</w:pPr>
      <w:r w:rsidRPr="00CD4D46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 xml:space="preserve">14. </w:t>
      </w:r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 xml:space="preserve">   J.B. </w:t>
      </w:r>
      <w:r w:rsidR="00F27779" w:rsidRPr="00CD4D46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 xml:space="preserve">Bossons, </w:t>
      </w:r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 xml:space="preserve">et al. </w:t>
      </w:r>
      <w:r w:rsidRPr="00CD4D46">
        <w:rPr>
          <w:rFonts w:ascii="BentonSansCondensed Book" w:eastAsia="BentonSansCondensed Book" w:hAnsi="BentonSansCondensed Book" w:cs="BentonSansCondensed Book"/>
          <w:i/>
          <w:iCs/>
          <w:color w:val="231F20"/>
          <w:sz w:val="14"/>
          <w:szCs w:val="14"/>
        </w:rPr>
        <w:t>Nature</w:t>
      </w:r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 xml:space="preserve"> </w:t>
      </w:r>
      <w:r w:rsidR="00F27779" w:rsidRPr="00CD4D46">
        <w:rPr>
          <w:rFonts w:ascii="BentonSansCondensed Book" w:eastAsia="BentonSansCondensed Book" w:hAnsi="BentonSansCondensed Book" w:cs="BentonSansCondensed Book"/>
          <w:b/>
          <w:bCs/>
          <w:color w:val="231F20"/>
          <w:sz w:val="14"/>
          <w:szCs w:val="14"/>
        </w:rPr>
        <w:t>620</w:t>
      </w:r>
      <w:r w:rsidR="00F27779" w:rsidRPr="00CD4D46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>, 562–569</w:t>
      </w:r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 xml:space="preserve"> (2023)</w:t>
      </w:r>
      <w:r w:rsidR="00F27779" w:rsidRPr="00CD4D46"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>.</w:t>
      </w:r>
    </w:p>
    <w:p w14:paraId="1A526AB0" w14:textId="77777777" w:rsidR="00F27779" w:rsidRDefault="00F27779" w:rsidP="00F27779">
      <w:pPr>
        <w:pBdr>
          <w:top w:val="nil"/>
          <w:left w:val="nil"/>
          <w:bottom w:val="nil"/>
          <w:right w:val="nil"/>
          <w:between w:val="nil"/>
        </w:pBdr>
        <w:tabs>
          <w:tab w:val="left" w:pos="309"/>
        </w:tabs>
        <w:spacing w:before="52" w:line="256" w:lineRule="auto"/>
        <w:ind w:right="153"/>
        <w:rPr>
          <w:rFonts w:ascii="Arial" w:eastAsia="Arial" w:hAnsi="Arial" w:cs="Arial"/>
          <w:color w:val="000000"/>
        </w:rPr>
      </w:pPr>
    </w:p>
    <w:p w14:paraId="00000014" w14:textId="77777777" w:rsidR="0048347C" w:rsidRDefault="00DA1EDC">
      <w:pPr>
        <w:pBdr>
          <w:top w:val="nil"/>
          <w:left w:val="nil"/>
          <w:bottom w:val="nil"/>
          <w:right w:val="nil"/>
          <w:between w:val="nil"/>
        </w:pBdr>
        <w:spacing w:before="140"/>
        <w:rPr>
          <w:rFonts w:ascii="BentonSans" w:eastAsia="BentonSans" w:hAnsi="BentonSans" w:cs="BentonSans"/>
          <w:b/>
          <w:bCs/>
          <w:smallCaps/>
          <w:color w:val="231F20"/>
          <w:sz w:val="14"/>
          <w:szCs w:val="14"/>
        </w:rPr>
      </w:pPr>
      <w:r>
        <w:rPr>
          <w:rFonts w:ascii="BentonSans" w:eastAsia="BentonSans" w:hAnsi="BentonSans" w:cs="BentonSans"/>
          <w:b/>
          <w:bCs/>
          <w:smallCaps/>
          <w:color w:val="231F20"/>
          <w:sz w:val="14"/>
          <w:szCs w:val="14"/>
        </w:rPr>
        <w:t>Competing Interests</w:t>
      </w:r>
    </w:p>
    <w:p w14:paraId="00000015" w14:textId="62791013" w:rsidR="0048347C" w:rsidRDefault="00723270">
      <w:pPr>
        <w:pBdr>
          <w:top w:val="nil"/>
          <w:left w:val="nil"/>
          <w:bottom w:val="nil"/>
          <w:right w:val="nil"/>
          <w:between w:val="nil"/>
        </w:pBdr>
        <w:tabs>
          <w:tab w:val="left" w:pos="309"/>
        </w:tabs>
        <w:spacing w:before="52" w:line="256" w:lineRule="auto"/>
        <w:ind w:right="153"/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</w:pPr>
      <w:sdt>
        <w:sdtPr>
          <w:tag w:val="goog_rdk_59"/>
          <w:id w:val="1086536355"/>
        </w:sdtPr>
        <w:sdtEndPr/>
        <w:sdtContent>
          <w:sdt>
            <w:sdtPr>
              <w:tag w:val="goog_rdk_60"/>
              <w:id w:val="296779949"/>
            </w:sdtPr>
            <w:sdtEndPr/>
            <w:sdtContent>
              <w:r w:rsidR="00DA1EDC" w:rsidRPr="00F27779">
                <w:rPr>
                  <w:rFonts w:ascii="BentonSansCondensed Book" w:eastAsia="BentonSansCondensed Book" w:hAnsi="BentonSansCondensed Book" w:cs="BentonSansCondensed Book"/>
                  <w:color w:val="231F20"/>
                  <w:sz w:val="14"/>
                  <w:szCs w:val="14"/>
                </w:rPr>
                <w:t xml:space="preserve">The authors declare no competing interests </w:t>
              </w:r>
            </w:sdtContent>
          </w:sdt>
        </w:sdtContent>
      </w:sdt>
      <w:sdt>
        <w:sdtPr>
          <w:tag w:val="goog_rdk_61"/>
          <w:id w:val="1771201261"/>
        </w:sdtPr>
        <w:sdtEndPr/>
        <w:sdtContent>
          <w:sdt>
            <w:sdtPr>
              <w:tag w:val="goog_rdk_62"/>
              <w:id w:val="580061176"/>
            </w:sdtPr>
            <w:sdtEndPr/>
            <w:sdtContent/>
          </w:sdt>
        </w:sdtContent>
      </w:sdt>
    </w:p>
    <w:p w14:paraId="00000016" w14:textId="77777777" w:rsidR="0048347C" w:rsidRDefault="0048347C">
      <w:pPr>
        <w:tabs>
          <w:tab w:val="left" w:pos="308"/>
        </w:tabs>
        <w:ind w:left="308"/>
        <w:rPr>
          <w:sz w:val="14"/>
          <w:szCs w:val="14"/>
        </w:rPr>
      </w:pPr>
    </w:p>
    <w:p w14:paraId="00000017" w14:textId="77777777" w:rsidR="0048347C" w:rsidRDefault="00DA1EDC">
      <w:pPr>
        <w:pBdr>
          <w:top w:val="nil"/>
          <w:left w:val="nil"/>
          <w:bottom w:val="nil"/>
          <w:right w:val="nil"/>
          <w:between w:val="nil"/>
        </w:pBdr>
        <w:ind w:left="309"/>
        <w:jc w:val="right"/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</w:pPr>
      <w:r>
        <w:rPr>
          <w:rFonts w:ascii="BentonSansCondensed Book" w:eastAsia="BentonSansCondensed Book" w:hAnsi="BentonSansCondensed Book" w:cs="BentonSansCondensed Book"/>
          <w:color w:val="231F20"/>
          <w:sz w:val="14"/>
          <w:szCs w:val="14"/>
        </w:rPr>
        <w:t>10.1126/science.aeg3085</w:t>
      </w:r>
    </w:p>
    <w:p w14:paraId="00000018" w14:textId="77777777" w:rsidR="0048347C" w:rsidRDefault="00DA1EDC">
      <w:pPr>
        <w:pStyle w:val="Titolo1"/>
        <w:spacing w:before="88"/>
        <w:ind w:left="0"/>
        <w:jc w:val="both"/>
        <w:rPr>
          <w:rFonts w:ascii="BentonSansCondensed Book" w:eastAsia="BentonSansCondensed Book" w:hAnsi="BentonSansCondensed Book" w:cs="BentonSansCondensed Book"/>
        </w:rPr>
        <w:sectPr w:rsidR="0048347C">
          <w:pgSz w:w="11880" w:h="15120"/>
          <w:pgMar w:top="706" w:right="605" w:bottom="274" w:left="576" w:header="720" w:footer="720" w:gutter="0"/>
          <w:lnNumType w:countBy="1" w:restart="continuous"/>
          <w:pgNumType w:start="1"/>
          <w:cols w:num="2" w:space="720" w:equalWidth="0">
            <w:col w:w="4989" w:space="720"/>
            <w:col w:w="4989" w:space="0"/>
          </w:cols>
        </w:sectPr>
      </w:pPr>
      <w:r>
        <w:br w:type="column"/>
      </w:r>
    </w:p>
    <w:p w14:paraId="00000019" w14:textId="77777777" w:rsidR="0048347C" w:rsidRDefault="0048347C">
      <w:pPr>
        <w:spacing w:before="112"/>
        <w:ind w:right="1646"/>
        <w:rPr>
          <w:sz w:val="13"/>
          <w:szCs w:val="13"/>
        </w:rPr>
      </w:pPr>
    </w:p>
    <w:sectPr w:rsidR="0048347C">
      <w:type w:val="continuous"/>
      <w:pgSz w:w="11880" w:h="15120"/>
      <w:pgMar w:top="706" w:right="605" w:bottom="274" w:left="576" w:header="720" w:footer="720" w:gutter="0"/>
      <w:lnNumType w:countBy="1" w:restart="continuous"/>
      <w:cols w:num="2" w:space="720" w:equalWidth="0">
        <w:col w:w="4989" w:space="720"/>
        <w:col w:w="498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entonSans Book">
    <w:altName w:val="Calibri"/>
    <w:charset w:val="00"/>
    <w:family w:val="auto"/>
    <w:pitch w:val="default"/>
  </w:font>
  <w:font w:name="Miller Headline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llerDaily">
    <w:altName w:val="Calibri"/>
    <w:charset w:val="00"/>
    <w:family w:val="auto"/>
    <w:pitch w:val="default"/>
  </w:font>
  <w:font w:name="BentonSansCondensed Medium">
    <w:altName w:val="Calibri"/>
    <w:charset w:val="00"/>
    <w:family w:val="auto"/>
    <w:pitch w:val="default"/>
  </w:font>
  <w:font w:name="BentonSansCondensed Book">
    <w:altName w:val="Calibri"/>
    <w:charset w:val="00"/>
    <w:family w:val="auto"/>
    <w:pitch w:val="default"/>
  </w:font>
  <w:font w:name="BentonSans">
    <w:altName w:val="Calibri"/>
    <w:charset w:val="00"/>
    <w:family w:val="auto"/>
    <w:pitch w:val="default"/>
  </w:font>
  <w:font w:name="BentonSansCondensed">
    <w:altName w:val="Cambria"/>
    <w:panose1 w:val="00000000000000000000"/>
    <w:charset w:val="00"/>
    <w:family w:val="roman"/>
    <w:notTrueType/>
    <w:pitch w:val="default"/>
  </w:font>
  <w:font w:name="BentonSans Medium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6C659B1-26F2-4918-8CBE-2A7E0617F96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80492DD1-C46A-4F9D-80BA-C607755635E3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037EFD5-17F8-4D99-B50B-99E6AD3901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8B517EA-0EB7-487C-B794-01BC09E2647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E80CF0"/>
    <w:multiLevelType w:val="multilevel"/>
    <w:tmpl w:val="E97CD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22795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/>
  <w:trackRevision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47C"/>
    <w:rsid w:val="003B5209"/>
    <w:rsid w:val="0048347C"/>
    <w:rsid w:val="008724B1"/>
    <w:rsid w:val="008772B2"/>
    <w:rsid w:val="008C3C76"/>
    <w:rsid w:val="00C15BFE"/>
    <w:rsid w:val="00C92EEC"/>
    <w:rsid w:val="00CD4D46"/>
    <w:rsid w:val="00D10F09"/>
    <w:rsid w:val="00D70A41"/>
    <w:rsid w:val="00DA1EDC"/>
    <w:rsid w:val="00EC7EDD"/>
    <w:rsid w:val="00F27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8997F"/>
  <w15:docId w15:val="{C4AD1115-78D7-4B3E-89E6-5733867BC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entonSans Book" w:eastAsia="BentonSans Book" w:hAnsi="BentonSans Book" w:cs="BentonSans Book"/>
        <w:sz w:val="22"/>
        <w:szCs w:val="22"/>
        <w:lang w:val="en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ind w:left="108"/>
      <w:outlineLvl w:val="0"/>
    </w:pPr>
    <w:rPr>
      <w:rFonts w:ascii="Miller Headline" w:eastAsia="Miller Headline" w:hAnsi="Miller Headline" w:cs="Miller Headline"/>
      <w:b/>
      <w:bCs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orpotesto">
    <w:name w:val="Body Text"/>
    <w:basedOn w:val="Normale"/>
    <w:uiPriority w:val="1"/>
    <w:qFormat/>
    <w:pPr>
      <w:ind w:left="108"/>
    </w:pPr>
    <w:rPr>
      <w:sz w:val="17"/>
      <w:szCs w:val="17"/>
    </w:rPr>
  </w:style>
  <w:style w:type="paragraph" w:customStyle="1" w:styleId="LetterHead">
    <w:name w:val="Letter Head"/>
    <w:qFormat/>
    <w:rsid w:val="001D5360"/>
    <w:pPr>
      <w:spacing w:line="326" w:lineRule="exact"/>
      <w:ind w:left="109"/>
    </w:pPr>
    <w:rPr>
      <w:rFonts w:ascii="Miller Headline" w:eastAsia="Miller Headline" w:hAnsi="Miller Headline" w:cs="Miller Headline"/>
      <w:b/>
      <w:bCs/>
      <w:sz w:val="28"/>
      <w:szCs w:val="28"/>
    </w:rPr>
  </w:style>
  <w:style w:type="paragraph" w:customStyle="1" w:styleId="LetterParagraphNoIndent">
    <w:name w:val="Letter Paragraph No Indent"/>
    <w:qFormat/>
    <w:rsid w:val="001D5360"/>
    <w:pPr>
      <w:spacing w:line="247" w:lineRule="auto"/>
      <w:ind w:left="109" w:right="69"/>
    </w:pPr>
    <w:rPr>
      <w:rFonts w:ascii="MillerDaily"/>
      <w:sz w:val="17"/>
      <w:szCs w:val="17"/>
    </w:rPr>
  </w:style>
  <w:style w:type="paragraph" w:customStyle="1" w:styleId="LetterParagraph">
    <w:name w:val="Letter Paragraph"/>
    <w:qFormat/>
    <w:rsid w:val="001D5360"/>
    <w:pPr>
      <w:spacing w:line="247" w:lineRule="auto"/>
      <w:ind w:left="109" w:right="76" w:firstLine="180"/>
    </w:pPr>
    <w:rPr>
      <w:rFonts w:ascii="MillerDaily"/>
      <w:color w:val="231F20"/>
      <w:sz w:val="17"/>
      <w:szCs w:val="17"/>
    </w:rPr>
  </w:style>
  <w:style w:type="paragraph" w:customStyle="1" w:styleId="AuthorLetters">
    <w:name w:val="Author Letters"/>
    <w:qFormat/>
    <w:rsid w:val="001D5360"/>
    <w:pPr>
      <w:spacing w:before="56" w:line="259" w:lineRule="auto"/>
      <w:ind w:left="109"/>
    </w:pPr>
    <w:rPr>
      <w:rFonts w:ascii="BentonSansCondensed Medium"/>
      <w:color w:val="231F20"/>
      <w:sz w:val="17"/>
    </w:rPr>
  </w:style>
  <w:style w:type="paragraph" w:customStyle="1" w:styleId="LetterAuthorAffiliation">
    <w:name w:val="Letter Author Affiliation"/>
    <w:qFormat/>
    <w:rsid w:val="001D5360"/>
    <w:pPr>
      <w:spacing w:before="56" w:line="259" w:lineRule="auto"/>
      <w:ind w:left="109"/>
    </w:pPr>
    <w:rPr>
      <w:rFonts w:ascii="BentonSansCondensed Book"/>
      <w:color w:val="231F20"/>
      <w:sz w:val="14"/>
    </w:rPr>
  </w:style>
  <w:style w:type="paragraph" w:customStyle="1" w:styleId="RefNotesHead">
    <w:name w:val="Ref &amp; Notes Head"/>
    <w:basedOn w:val="Normale"/>
    <w:qFormat/>
    <w:rsid w:val="00342BD7"/>
    <w:pPr>
      <w:spacing w:before="140"/>
      <w:ind w:left="109"/>
    </w:pPr>
    <w:rPr>
      <w:rFonts w:ascii="BentonSans" w:hAnsi="BentonSans"/>
      <w:b/>
      <w:caps/>
      <w:color w:val="231F20"/>
      <w:spacing w:val="-4"/>
      <w:sz w:val="14"/>
    </w:rPr>
  </w:style>
  <w:style w:type="paragraph" w:customStyle="1" w:styleId="RefNotesList">
    <w:name w:val="Ref &amp; Notes List"/>
    <w:basedOn w:val="Normale"/>
    <w:qFormat/>
    <w:rsid w:val="00342BD7"/>
    <w:pPr>
      <w:tabs>
        <w:tab w:val="left" w:pos="309"/>
      </w:tabs>
      <w:spacing w:before="52" w:line="256" w:lineRule="auto"/>
      <w:ind w:right="153"/>
    </w:pPr>
    <w:rPr>
      <w:rFonts w:ascii="BentonSansCondensed Book" w:eastAsia="BentonSansCondensed Book" w:hAnsi="BentonSansCondensed Book" w:cs="BentonSansCondensed Book"/>
      <w:color w:val="231F20"/>
      <w:spacing w:val="-2"/>
      <w:sz w:val="14"/>
    </w:rPr>
  </w:style>
  <w:style w:type="paragraph" w:customStyle="1" w:styleId="FeatureHead">
    <w:name w:val="Feature Head"/>
    <w:basedOn w:val="Titolo1"/>
    <w:qFormat/>
    <w:rsid w:val="00582C82"/>
    <w:pPr>
      <w:spacing w:before="88"/>
      <w:jc w:val="both"/>
    </w:pPr>
    <w:rPr>
      <w:rFonts w:ascii="BentonSansCondensed"/>
      <w:color w:val="231F20"/>
    </w:rPr>
  </w:style>
  <w:style w:type="paragraph" w:customStyle="1" w:styleId="EEOCHead">
    <w:name w:val="EEOC Head"/>
    <w:basedOn w:val="Normale"/>
    <w:qFormat/>
    <w:rsid w:val="00342BD7"/>
    <w:pPr>
      <w:spacing w:before="1"/>
      <w:ind w:left="109"/>
    </w:pPr>
    <w:rPr>
      <w:rFonts w:ascii="BentonSans" w:hAnsi="BentonSans"/>
      <w:b/>
      <w:caps/>
      <w:color w:val="231F20"/>
      <w:sz w:val="16"/>
    </w:rPr>
  </w:style>
  <w:style w:type="paragraph" w:customStyle="1" w:styleId="EEOCFirstParagraph">
    <w:name w:val="EEOC First Paragraph"/>
    <w:basedOn w:val="Corpotesto"/>
    <w:qFormat/>
    <w:rsid w:val="00CF5497"/>
    <w:pPr>
      <w:spacing w:before="6" w:line="247" w:lineRule="auto"/>
      <w:ind w:left="109"/>
    </w:pPr>
    <w:rPr>
      <w:rFonts w:ascii="MillerDaily"/>
      <w:color w:val="231F20"/>
    </w:rPr>
  </w:style>
  <w:style w:type="paragraph" w:customStyle="1" w:styleId="EEOCAuthor">
    <w:name w:val="EEOC Author"/>
    <w:basedOn w:val="Normale"/>
    <w:qFormat/>
    <w:rsid w:val="00CF5497"/>
    <w:pPr>
      <w:spacing w:before="32"/>
      <w:ind w:left="109"/>
    </w:pPr>
    <w:rPr>
      <w:rFonts w:ascii="BentonSansCondensed Medium"/>
      <w:color w:val="231F20"/>
      <w:sz w:val="16"/>
    </w:rPr>
  </w:style>
  <w:style w:type="character" w:customStyle="1" w:styleId="EEOCAuthoraffiliation">
    <w:name w:val="EEOC Author affiliation"/>
    <w:uiPriority w:val="1"/>
    <w:qFormat/>
    <w:rsid w:val="00582C82"/>
    <w:rPr>
      <w:rFonts w:ascii="BentonSansCondensed Book"/>
    </w:rPr>
  </w:style>
  <w:style w:type="paragraph" w:customStyle="1" w:styleId="EEOCRefNotes">
    <w:name w:val="EEOC Ref &amp; Notes"/>
    <w:basedOn w:val="Normale"/>
    <w:qFormat/>
    <w:rsid w:val="00342BD7"/>
    <w:pPr>
      <w:spacing w:before="64"/>
      <w:ind w:left="109"/>
    </w:pPr>
    <w:rPr>
      <w:rFonts w:ascii="BentonSans" w:hAnsi="BentonSans"/>
      <w:b/>
      <w:caps/>
      <w:color w:val="231F20"/>
      <w:spacing w:val="-2"/>
      <w:sz w:val="14"/>
    </w:rPr>
  </w:style>
  <w:style w:type="paragraph" w:customStyle="1" w:styleId="DOI">
    <w:name w:val="DOI"/>
    <w:qFormat/>
    <w:rsid w:val="00582C82"/>
    <w:pPr>
      <w:ind w:left="309"/>
      <w:jc w:val="right"/>
    </w:pPr>
    <w:rPr>
      <w:rFonts w:ascii="BentonSansCondensed Book" w:eastAsia="BentonSansCondensed Book" w:hAnsi="BentonSansCondensed Book" w:cs="BentonSansCondensed Book"/>
      <w:color w:val="231F20"/>
      <w:spacing w:val="-2"/>
      <w:w w:val="105"/>
      <w:sz w:val="14"/>
    </w:rPr>
  </w:style>
  <w:style w:type="paragraph" w:customStyle="1" w:styleId="Featureintroparagraph">
    <w:name w:val="Feature intro paragraph"/>
    <w:basedOn w:val="Featureparagraph"/>
    <w:qFormat/>
    <w:rsid w:val="00342BD7"/>
    <w:pPr>
      <w:spacing w:before="78"/>
      <w:ind w:left="115" w:firstLine="0"/>
    </w:pPr>
  </w:style>
  <w:style w:type="paragraph" w:customStyle="1" w:styleId="Featureparagraph">
    <w:name w:val="Feature paragraph"/>
    <w:basedOn w:val="Corpotesto"/>
    <w:qFormat/>
    <w:rsid w:val="00582C82"/>
    <w:pPr>
      <w:spacing w:line="247" w:lineRule="auto"/>
      <w:ind w:right="158" w:firstLine="180"/>
    </w:pPr>
    <w:rPr>
      <w:color w:val="231F20"/>
    </w:rPr>
  </w:style>
  <w:style w:type="paragraph" w:customStyle="1" w:styleId="CallforSubhead">
    <w:name w:val="Call for Sub head"/>
    <w:qFormat/>
    <w:rsid w:val="00342BD7"/>
    <w:pPr>
      <w:ind w:left="108"/>
    </w:pPr>
    <w:rPr>
      <w:rFonts w:ascii="BentonSans" w:hAnsi="BentonSans"/>
      <w:b/>
      <w:caps/>
      <w:color w:val="231F20"/>
      <w:sz w:val="16"/>
    </w:rPr>
  </w:style>
  <w:style w:type="paragraph" w:customStyle="1" w:styleId="CallforSubbody">
    <w:name w:val="Call for Sub body"/>
    <w:basedOn w:val="Corpotesto"/>
    <w:qFormat/>
    <w:rsid w:val="00B5780A"/>
    <w:pPr>
      <w:spacing w:before="108" w:line="247" w:lineRule="auto"/>
      <w:ind w:right="65"/>
    </w:pPr>
    <w:rPr>
      <w:color w:val="231F20"/>
      <w:spacing w:val="-4"/>
    </w:rPr>
  </w:style>
  <w:style w:type="character" w:customStyle="1" w:styleId="CallforSubmedium">
    <w:name w:val="Call for Sub medium"/>
    <w:basedOn w:val="Carpredefinitoparagrafo"/>
    <w:uiPriority w:val="1"/>
    <w:qFormat/>
    <w:rsid w:val="00B5780A"/>
    <w:rPr>
      <w:rFonts w:ascii="BentonSans Medium"/>
      <w:color w:val="231F20"/>
      <w:spacing w:val="-4"/>
    </w:rPr>
  </w:style>
  <w:style w:type="numbering" w:customStyle="1" w:styleId="CurrentList1">
    <w:name w:val="Current List1"/>
    <w:uiPriority w:val="99"/>
    <w:rsid w:val="00342BD7"/>
  </w:style>
  <w:style w:type="paragraph" w:customStyle="1" w:styleId="EEOCParagraph">
    <w:name w:val="EEOC Paragraph"/>
    <w:basedOn w:val="EEOCFirstParagraph"/>
    <w:qFormat/>
    <w:rsid w:val="00342BD7"/>
    <w:pPr>
      <w:ind w:left="115" w:firstLine="187"/>
    </w:pPr>
  </w:style>
  <w:style w:type="character" w:styleId="Numeroriga">
    <w:name w:val="line number"/>
    <w:basedOn w:val="Carpredefinitoparagrafo"/>
    <w:uiPriority w:val="99"/>
    <w:unhideWhenUsed/>
    <w:rsid w:val="00B865B7"/>
    <w:rPr>
      <w:rFonts w:asciiTheme="minorHAnsi" w:hAnsiTheme="minorHAnsi"/>
      <w:color w:val="A6A6A6" w:themeColor="background1" w:themeShade="A6"/>
      <w:sz w:val="13"/>
    </w:rPr>
  </w:style>
  <w:style w:type="character" w:styleId="Collegamentoipertestuale">
    <w:name w:val="Hyperlink"/>
    <w:basedOn w:val="Carpredefinitoparagrafo"/>
    <w:uiPriority w:val="99"/>
    <w:unhideWhenUsed/>
    <w:rsid w:val="002A7707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A7707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E365FB"/>
    <w:pPr>
      <w:widowControl/>
    </w:pPr>
  </w:style>
  <w:style w:type="character" w:styleId="Rimandocommento">
    <w:name w:val="annotation reference"/>
    <w:basedOn w:val="Carpredefinitoparagrafo"/>
    <w:uiPriority w:val="99"/>
    <w:semiHidden/>
    <w:unhideWhenUsed/>
    <w:rsid w:val="00E365F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365FB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365FB"/>
    <w:rPr>
      <w:rFonts w:ascii="BentonSans Book" w:eastAsia="BentonSans Book" w:hAnsi="BentonSans Book" w:cs="BentonSans Book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365F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365FB"/>
    <w:rPr>
      <w:rFonts w:ascii="BentonSans Book" w:eastAsia="BentonSans Book" w:hAnsi="BentonSans Book" w:cs="BentonSans Book"/>
      <w:b/>
      <w:bCs/>
      <w:sz w:val="20"/>
      <w:szCs w:val="20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foroeuropeo.it/aree-sezioni/cassazione-massime-materie/1038-acque-pubbliche/60563-competenza-e-giurisdizione-ordinaria-e-amministrativa-corte-di-cassazione-sez-u-ordinanza-n-4061-del-14-02-2024-rv-670010-01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circabc.europa.eu/sd/a/2c12cea2-f827-4bdb-bb56-3731c9fd8b40/Art17-Guidelines-final.pdf?utm_source=chatgpt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tPoB6fd208GjiGhlxJUs5TXYjg==">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13b55eef-7018-4674-a3d7-cc0db06d545c}" enabled="0" method="" siteId="{13b55eef-7018-4674-a3d7-cc0db06d545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796</Words>
  <Characters>4540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White</dc:creator>
  <cp:lastModifiedBy>Roberto Ambrosini</cp:lastModifiedBy>
  <cp:revision>6</cp:revision>
  <dcterms:created xsi:type="dcterms:W3CDTF">2026-03-12T20:39:00Z</dcterms:created>
  <dcterms:modified xsi:type="dcterms:W3CDTF">2026-04-27T09:39:00Z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2025-03-13T00:00:00Z</vt:filetime>
  </property>
  <property fmtid="{D5CDD505-2E9C-101B-9397-08002B2CF9AE}" pid="3" name="Creator">
    <vt:lpwstr>Adobe InDesign 18.5 (Macintosh)</vt:lpwstr>
  </property>
  <property fmtid="{D5CDD505-2E9C-101B-9397-08002B2CF9AE}" pid="4" name="LastSaved">
    <vt:filetime>2025-03-13T00:00:00Z</vt:filetime>
  </property>
  <property fmtid="{D5CDD505-2E9C-101B-9397-08002B2CF9AE}" pid="5" name="Producer">
    <vt:lpwstr>Adobe PDF Library 17.0</vt:lpwstr>
  </property>
</Properties>
</file>