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CE0" w:rsidRDefault="007019A6" w:rsidP="00B44D1C">
      <w:pPr>
        <w:spacing w:after="480"/>
        <w:jc w:val="center"/>
        <w:rPr>
          <w:sz w:val="28"/>
          <w:szCs w:val="28"/>
        </w:rPr>
      </w:pPr>
      <w:r w:rsidRPr="001419EB">
        <w:rPr>
          <w:sz w:val="28"/>
          <w:szCs w:val="28"/>
        </w:rPr>
        <w:t xml:space="preserve">LA </w:t>
      </w:r>
      <w:r w:rsidR="007858EE">
        <w:rPr>
          <w:sz w:val="28"/>
          <w:szCs w:val="28"/>
        </w:rPr>
        <w:t>NUOVA O.C.M.</w:t>
      </w:r>
      <w:r w:rsidRPr="001419EB">
        <w:rPr>
          <w:sz w:val="28"/>
          <w:szCs w:val="28"/>
        </w:rPr>
        <w:t xml:space="preserve"> VINO</w:t>
      </w:r>
    </w:p>
    <w:p w:rsidR="007B2CD8" w:rsidRPr="007B2CD8" w:rsidRDefault="007B2CD8" w:rsidP="007B2CD8">
      <w:pPr>
        <w:spacing w:after="480"/>
        <w:rPr>
          <w:sz w:val="22"/>
          <w:szCs w:val="22"/>
        </w:rPr>
      </w:pPr>
      <w:r>
        <w:rPr>
          <w:sz w:val="22"/>
          <w:szCs w:val="22"/>
        </w:rPr>
        <w:t>Convegno del 20 ottobre 2007 a San Colombano al Lambro (Mi)</w:t>
      </w:r>
    </w:p>
    <w:p w:rsidR="006006C0" w:rsidRDefault="007019A6">
      <w:r w:rsidRPr="006006C0">
        <w:rPr>
          <w:i/>
        </w:rPr>
        <w:t>Daniele Cavicchioli</w:t>
      </w:r>
      <w:r w:rsidR="006006C0">
        <w:t>,</w:t>
      </w:r>
    </w:p>
    <w:p w:rsidR="007019A6" w:rsidRDefault="007858EE">
      <w:r>
        <w:t>Ricercatore della Facoltà di Agraria dell’</w:t>
      </w:r>
      <w:r w:rsidR="007019A6">
        <w:t>Università degli Studi di Milano</w:t>
      </w:r>
    </w:p>
    <w:p w:rsidR="00B44D1C" w:rsidRPr="001419EB" w:rsidRDefault="00B44D1C" w:rsidP="00B44D1C">
      <w:pPr>
        <w:spacing w:before="480" w:after="240"/>
        <w:rPr>
          <w:sz w:val="28"/>
          <w:szCs w:val="28"/>
        </w:rPr>
      </w:pPr>
      <w:r w:rsidRPr="001419EB">
        <w:rPr>
          <w:sz w:val="28"/>
          <w:szCs w:val="28"/>
        </w:rPr>
        <w:t>1.1 Introduzione</w:t>
      </w:r>
    </w:p>
    <w:p w:rsidR="00B44D1C" w:rsidRDefault="00B44D1C" w:rsidP="00341D84">
      <w:pPr>
        <w:jc w:val="both"/>
      </w:pPr>
      <w:r>
        <w:t xml:space="preserve">La natura e le caratteristiche del comparto vitivinicolo, in Italia e nel resto d’Europa, lo differenziano sensibilmente dagli altri </w:t>
      </w:r>
      <w:r w:rsidR="001C099D">
        <w:t>settori</w:t>
      </w:r>
      <w:r>
        <w:t xml:space="preserve"> agro-alimentari, pur potendo riconoscere tratti comuni.</w:t>
      </w:r>
      <w:r w:rsidR="008673D0">
        <w:t xml:space="preserve"> Tali peculiarità si riflettono anche nella complessità delle politiche </w:t>
      </w:r>
      <w:r w:rsidR="00517169">
        <w:t xml:space="preserve">adottate </w:t>
      </w:r>
      <w:r w:rsidR="008673D0">
        <w:t xml:space="preserve">e del quadro legislativo </w:t>
      </w:r>
      <w:r w:rsidR="00517169">
        <w:t xml:space="preserve">delineato dall’Unione Europea per disciplinare e sostenere il settore vitivinicolo che, al pari di altri, ha </w:t>
      </w:r>
      <w:r w:rsidR="00341D84">
        <w:t>sperimentato un mutamento nel quadro produttivo, dei consumi e della competizione internazionale. Proprio quest</w:t>
      </w:r>
      <w:r w:rsidR="00CC67CE">
        <w:t>e</w:t>
      </w:r>
      <w:r w:rsidR="00341D84">
        <w:t xml:space="preserve"> </w:t>
      </w:r>
      <w:r w:rsidR="00CC67CE">
        <w:t>trasformazioni</w:t>
      </w:r>
      <w:r w:rsidR="00341D84">
        <w:t xml:space="preserve"> hanno determinato in passato e spingono anche oggi il legislatore europeo a modificare il quadro normativo del settore vitivinicolo per renderlo capace di </w:t>
      </w:r>
      <w:r w:rsidR="00CC67CE">
        <w:t>adeguarsi al mutato scenario di riferimento e per risolvere in modo si spera definitivo problemi strutturali di squilibrio tra domanda e offerta anche all’interno dell’UE allargata.</w:t>
      </w:r>
    </w:p>
    <w:p w:rsidR="00CC67CE" w:rsidRDefault="00CC67CE" w:rsidP="00341D84">
      <w:pPr>
        <w:jc w:val="both"/>
      </w:pPr>
    </w:p>
    <w:p w:rsidR="00CC67CE" w:rsidRDefault="00CC67CE" w:rsidP="00341D84">
      <w:pPr>
        <w:jc w:val="both"/>
      </w:pPr>
      <w:r>
        <w:t xml:space="preserve">E’ doveroso precisare che il presente intervento illustra i contenuti e le principali novità della proposta di Regolamento per la riforma dell’Organizzazione Comune del Mercato dei </w:t>
      </w:r>
      <w:r>
        <w:lastRenderedPageBreak/>
        <w:t>prodotti vitivinicoli che è ancora in via di discussione e approvazione e quindi ancora suscettibile di sostanziali modifiche.</w:t>
      </w:r>
    </w:p>
    <w:p w:rsidR="00CC67CE" w:rsidRDefault="00AB5C4B" w:rsidP="00341D84">
      <w:pPr>
        <w:jc w:val="both"/>
      </w:pPr>
      <w:r>
        <w:t>Prima di illustrare i contenuti della proposta d</w:t>
      </w:r>
      <w:r w:rsidR="000F3166">
        <w:t xml:space="preserve">i Regolamento </w:t>
      </w:r>
      <w:r w:rsidR="00FB6C09">
        <w:t>verrà sinteticamente considerato</w:t>
      </w:r>
      <w:r w:rsidR="000F3166">
        <w:t xml:space="preserve"> </w:t>
      </w:r>
      <w:r w:rsidR="00FB6C09">
        <w:t>il vigente</w:t>
      </w:r>
      <w:r w:rsidR="000F3166">
        <w:t xml:space="preserve"> quadro normativo che disciplina il settore del vino </w:t>
      </w:r>
      <w:r w:rsidR="00FB6C09">
        <w:t xml:space="preserve">a </w:t>
      </w:r>
      <w:r w:rsidR="000F3166">
        <w:t xml:space="preserve">livello comunitario, per poi </w:t>
      </w:r>
      <w:r w:rsidR="00FB6C09">
        <w:t xml:space="preserve">trattare le motivazioni </w:t>
      </w:r>
      <w:r w:rsidR="00A8570E">
        <w:t>e l’iter consultativo e procedurale che hanno condotto alla formalizzazione della proposta di riforma</w:t>
      </w:r>
      <w:r w:rsidR="00BB6E8C">
        <w:t>.</w:t>
      </w:r>
      <w:r w:rsidR="00FB6C09">
        <w:t xml:space="preserve"> </w:t>
      </w:r>
    </w:p>
    <w:p w:rsidR="00F462FB" w:rsidRPr="001419EB" w:rsidRDefault="00F462FB" w:rsidP="00F462FB">
      <w:pPr>
        <w:spacing w:before="480" w:after="240"/>
        <w:rPr>
          <w:sz w:val="28"/>
          <w:szCs w:val="28"/>
        </w:rPr>
      </w:pPr>
      <w:r w:rsidRPr="001419EB">
        <w:rPr>
          <w:sz w:val="28"/>
          <w:szCs w:val="28"/>
        </w:rPr>
        <w:t>1.2 Motivazioni e Iter della riforma</w:t>
      </w:r>
    </w:p>
    <w:p w:rsidR="00862BED" w:rsidRDefault="00587656" w:rsidP="005902FE">
      <w:pPr>
        <w:spacing w:before="480" w:after="240"/>
        <w:jc w:val="both"/>
      </w:pPr>
      <w:r>
        <w:t>Le politiche di sostegno e regolazione del settore vitivinicolo, come accade per quasi tutti i comparti agricoli, sono disciplinate a livello comunitario</w:t>
      </w:r>
      <w:r w:rsidR="005902FE">
        <w:t xml:space="preserve"> attraverso un insieme di regole e procedure noto con il nome di Organizzazione Comune di Mercato (O.C.M.). </w:t>
      </w:r>
    </w:p>
    <w:p w:rsidR="00F462FB" w:rsidRDefault="005902FE" w:rsidP="00862BED">
      <w:pPr>
        <w:jc w:val="both"/>
      </w:pPr>
      <w:r>
        <w:t xml:space="preserve">L’O.C.M. dei prodotti vitivinicoli </w:t>
      </w:r>
      <w:r w:rsidR="00862BED">
        <w:t>nacque</w:t>
      </w:r>
      <w:r w:rsidR="0009269A">
        <w:t xml:space="preserve"> nei primi anni ’70</w:t>
      </w:r>
      <w:r w:rsidR="00EB3E42">
        <w:t xml:space="preserve"> e </w:t>
      </w:r>
      <w:r w:rsidR="00862BED">
        <w:t xml:space="preserve">venne </w:t>
      </w:r>
      <w:r w:rsidR="00EB3E42">
        <w:t xml:space="preserve">riformata </w:t>
      </w:r>
      <w:r w:rsidR="00862BED">
        <w:t xml:space="preserve">nel 1987 mantenendo una legislazione distinta per vini di qualità e vini da tavola; dopo un lungo processo si giunse, nel 1999, </w:t>
      </w:r>
      <w:r w:rsidR="007944E1">
        <w:t xml:space="preserve">all’emanazione di un unico Regolamento Comunitario di disciplina di tutto il </w:t>
      </w:r>
      <w:r w:rsidR="00A66BBD">
        <w:t>comparto</w:t>
      </w:r>
      <w:r w:rsidR="007944E1">
        <w:t xml:space="preserve"> (Reg.(CE) 14</w:t>
      </w:r>
      <w:r w:rsidR="00C230C5">
        <w:t>93</w:t>
      </w:r>
      <w:r w:rsidR="007944E1">
        <w:t>/1999) che rappresenta la base normativa dell’attuale O.C.M. dei prodotti vitivinicoli</w:t>
      </w:r>
      <w:r w:rsidR="00A66BBD">
        <w:t xml:space="preserve">. Il quadro normativo è completato da </w:t>
      </w:r>
      <w:r w:rsidR="004C5669">
        <w:t>sei</w:t>
      </w:r>
      <w:r w:rsidR="00A66BBD">
        <w:t xml:space="preserve"> Regolamenti applicativi del Regolamento base, relativi al potenziale produttivo (Reg (CE) 1227/2000) </w:t>
      </w:r>
      <w:r w:rsidR="00527C68">
        <w:t xml:space="preserve">alle pratiche enologiche (Reg (CE) 1622/2000) ai meccanismi di mercato (Reg (CE) 1623/2000) alla designazione, denominazione presentazione e protezione dei prodotti </w:t>
      </w:r>
      <w:r w:rsidR="00527C68">
        <w:lastRenderedPageBreak/>
        <w:t>vitivinicoli (Reg (CE) 753/2002)</w:t>
      </w:r>
      <w:r w:rsidR="004C5669">
        <w:t xml:space="preserve"> ai Vini di Qualità Prodotti in Regioni Determinate (Reg (CE) 1607/2000) e al regime degli scambi con i paesi terzi (Reg (CE) 883/2001)</w:t>
      </w:r>
      <w:r w:rsidR="00527C68">
        <w:t>.</w:t>
      </w:r>
      <w:r w:rsidR="004C5669">
        <w:t xml:space="preserve"> Vanno poi citati i due regolamenti che disciplinano i controlli (Reg (CE) 2729/2000) e la tenuta dei documenti di trasporto e dei registri nel settore vitivinicolo (Reg (CE) </w:t>
      </w:r>
      <w:r w:rsidR="00B4204B">
        <w:t>884</w:t>
      </w:r>
      <w:r w:rsidR="004C5669">
        <w:t>/200</w:t>
      </w:r>
      <w:r w:rsidR="00B4204B">
        <w:t>1</w:t>
      </w:r>
      <w:r w:rsidR="004C5669">
        <w:t>).</w:t>
      </w:r>
    </w:p>
    <w:p w:rsidR="00BC3469" w:rsidRDefault="00BC3469" w:rsidP="00862BED">
      <w:pPr>
        <w:jc w:val="both"/>
      </w:pPr>
    </w:p>
    <w:p w:rsidR="0085110F" w:rsidRDefault="00BC3469" w:rsidP="00862BED">
      <w:pPr>
        <w:jc w:val="both"/>
      </w:pPr>
      <w:r>
        <w:t>Le motivazioni alla base della necessità di riformare l’attuale impianto normativo da una parte si rifanno a</w:t>
      </w:r>
      <w:r w:rsidR="0085110F">
        <w:t>gli</w:t>
      </w:r>
      <w:r>
        <w:t xml:space="preserve"> </w:t>
      </w:r>
      <w:r w:rsidR="0085110F">
        <w:t>obiettivi</w:t>
      </w:r>
      <w:r>
        <w:t xml:space="preserve"> della precedente riforma e, in parte, si inquadrano nel più generale processo di </w:t>
      </w:r>
      <w:r w:rsidR="0085110F">
        <w:t>cambiamento della Politica Agricola Comunitaria.</w:t>
      </w:r>
    </w:p>
    <w:p w:rsidR="00BC3469" w:rsidRDefault="0085110F" w:rsidP="00862BED">
      <w:pPr>
        <w:jc w:val="both"/>
      </w:pPr>
      <w:r>
        <w:t xml:space="preserve">Un primo, importante motivo è rappresentato </w:t>
      </w:r>
      <w:r w:rsidR="002149A5">
        <w:t>dal permanere di un eccesso di offerta rispetto alla domanda di vino sul mercato interno comunitario, per effetto congi</w:t>
      </w:r>
      <w:r w:rsidR="00426D76">
        <w:t xml:space="preserve">unto di vari fattori tra cui il progressivo calo dei consumi e l’aumento delle importazioni entrambi </w:t>
      </w:r>
      <w:r w:rsidR="000E4DF7">
        <w:t>a carico</w:t>
      </w:r>
      <w:r w:rsidR="00426D76">
        <w:t xml:space="preserve"> principalmente </w:t>
      </w:r>
      <w:r w:rsidR="000E4DF7">
        <w:t>de</w:t>
      </w:r>
      <w:r w:rsidR="00426D76">
        <w:t xml:space="preserve">i vini da tavola. </w:t>
      </w:r>
      <w:r w:rsidR="000E4DF7">
        <w:t xml:space="preserve">Tale squilibrio ha inoltre la sua radice nel perverso meccanismo della politica di sostegno dei prezzi (di cui il settore vitivinicolo rimane, ad oggi, </w:t>
      </w:r>
      <w:r w:rsidR="000937D9">
        <w:t>uno degli ultimi</w:t>
      </w:r>
      <w:r w:rsidR="000E4DF7">
        <w:t xml:space="preserve"> beneficiari </w:t>
      </w:r>
      <w:r w:rsidR="000937D9">
        <w:t>all’interno dell’agricoltura comunitaria</w:t>
      </w:r>
      <w:r w:rsidR="000E4DF7">
        <w:t>) basata sulle distillazioni che ha generato crescenti eccedenze</w:t>
      </w:r>
      <w:r w:rsidR="000937D9">
        <w:t xml:space="preserve"> comportando maggiori spese a </w:t>
      </w:r>
      <w:r w:rsidR="00572BE3">
        <w:t>carico del bilancio comunitario.</w:t>
      </w:r>
    </w:p>
    <w:p w:rsidR="000937D9" w:rsidRDefault="000937D9" w:rsidP="00341D84">
      <w:pPr>
        <w:jc w:val="both"/>
      </w:pPr>
      <w:r>
        <w:t xml:space="preserve">Non a caso il permanere di eccedenze strutturali e il cattivo uso del budget comunitario dedicato al vino rappresentano le altre due motivazioni propulsive della riforma. </w:t>
      </w:r>
    </w:p>
    <w:p w:rsidR="00F462FB" w:rsidRDefault="000937D9" w:rsidP="00341D84">
      <w:pPr>
        <w:jc w:val="both"/>
      </w:pPr>
      <w:r>
        <w:t>La questione dell’impiego dei fondi comunitari riservati al vino è</w:t>
      </w:r>
      <w:r w:rsidR="00572BE3">
        <w:t>,</w:t>
      </w:r>
      <w:r>
        <w:t xml:space="preserve"> appunto</w:t>
      </w:r>
      <w:r w:rsidR="00572BE3">
        <w:t>,</w:t>
      </w:r>
      <w:r>
        <w:t xml:space="preserve"> direttamente collegato alla questione delle distillazioni poiché, se è vero che il vino assorbe una quota modesta della spesa agric</w:t>
      </w:r>
      <w:r w:rsidR="00F009B3">
        <w:t>ola (</w:t>
      </w:r>
      <w:r>
        <w:t>1,</w:t>
      </w:r>
      <w:r w:rsidR="00572BE3">
        <w:t>3</w:t>
      </w:r>
      <w:r>
        <w:t xml:space="preserve"> Miliardi di Euro </w:t>
      </w:r>
      <w:r w:rsidR="00572BE3">
        <w:t>contro oltre 40 Miliardi di Euro</w:t>
      </w:r>
      <w:r>
        <w:t xml:space="preserve"> </w:t>
      </w:r>
      <w:r w:rsidR="00572BE3">
        <w:t>per l’intera agricoltura) tale dot</w:t>
      </w:r>
      <w:r w:rsidR="0042556A">
        <w:t>azione</w:t>
      </w:r>
      <w:r w:rsidR="00572BE3">
        <w:t xml:space="preserve"> è, per </w:t>
      </w:r>
      <w:r w:rsidR="00572BE3">
        <w:lastRenderedPageBreak/>
        <w:t>così dire, “sperperata” in buona parte per smaltire le eccedenze attraverso le distillazioni (circa 500 Milioni di Euro, pari ad oltre il 38% della spesa comunitaria per il vino).</w:t>
      </w:r>
    </w:p>
    <w:p w:rsidR="00572BE3" w:rsidRDefault="00572BE3" w:rsidP="00341D84">
      <w:pPr>
        <w:jc w:val="both"/>
      </w:pPr>
      <w:r>
        <w:t xml:space="preserve">Ultimo ma non meno importante motivo per il rinnovamento della politica vitivinicola europea è la progressiva perdita di competitività delle nostre produzioni a livello mondiale, rappresentata sia dalla maggiore penetrazione di vini extracomunitari sul mercato interno, sia dalla perdita di quote di mercato </w:t>
      </w:r>
      <w:r w:rsidR="007F1ED5">
        <w:t xml:space="preserve">sui mercati emergenti in favore dei principali </w:t>
      </w:r>
      <w:r w:rsidR="007F1ED5" w:rsidRPr="007F1ED5">
        <w:rPr>
          <w:i/>
        </w:rPr>
        <w:t>competitors</w:t>
      </w:r>
      <w:r w:rsidR="007F1ED5">
        <w:t xml:space="preserve"> dell’UE.</w:t>
      </w:r>
    </w:p>
    <w:p w:rsidR="007F1ED5" w:rsidRDefault="007F1ED5" w:rsidP="00341D84">
      <w:pPr>
        <w:jc w:val="both"/>
      </w:pPr>
    </w:p>
    <w:p w:rsidR="00D85315" w:rsidRDefault="007F1ED5" w:rsidP="00341D84">
      <w:pPr>
        <w:jc w:val="both"/>
      </w:pPr>
      <w:r>
        <w:t xml:space="preserve">L’insieme di questi elementi ha spinto </w:t>
      </w:r>
      <w:smartTag w:uri="urn:schemas-microsoft-com:office:smarttags" w:element="PersonName">
        <w:smartTagPr>
          <w:attr w:name="ProductID" w:val="la Commissione Europea"/>
        </w:smartTagPr>
        <w:smartTag w:uri="urn:schemas-microsoft-com:office:smarttags" w:element="PersonName">
          <w:smartTagPr>
            <w:attr w:name="ProductID" w:val="la Commissione"/>
          </w:smartTagPr>
          <w:r>
            <w:t>la Commissione</w:t>
          </w:r>
        </w:smartTag>
        <w:r>
          <w:t xml:space="preserve"> Europea</w:t>
        </w:r>
      </w:smartTag>
      <w:r>
        <w:t xml:space="preserve">, nel giugno </w:t>
      </w:r>
      <w:smartTag w:uri="urn:schemas-microsoft-com:office:smarttags" w:element="metricconverter">
        <w:smartTagPr>
          <w:attr w:name="ProductID" w:val="2006 a"/>
        </w:smartTagPr>
        <w:r>
          <w:t>2006 a</w:t>
        </w:r>
      </w:smartTag>
      <w:r>
        <w:t xml:space="preserve"> proporre una prima bozza informale di riforma dal titolo “Verso un settore vitivinicolo sostenibile in Europa” </w:t>
      </w:r>
      <w:r w:rsidR="008334E0">
        <w:t>in cui, assieme all’enunciazione delle principali problematiche sopra esposte, si prospettavano alcune possibili soluzioni</w:t>
      </w:r>
      <w:r w:rsidR="00DB4EE4">
        <w:t xml:space="preserve"> alternative</w:t>
      </w:r>
      <w:r w:rsidR="008334E0">
        <w:t>. Tale documento, seppur informale, ha rappresentato la base di confronto e discussione tra Istituzioni Europee, Paesi Membri e parti sociali coinvolte</w:t>
      </w:r>
      <w:r w:rsidR="004715F9">
        <w:t xml:space="preserve">, fornendo utili indicazioni alla Commissione Europea che, il 4 luglio </w:t>
      </w:r>
      <w:smartTag w:uri="urn:schemas-microsoft-com:office:smarttags" w:element="metricconverter">
        <w:smartTagPr>
          <w:attr w:name="ProductID" w:val="2007 ha"/>
        </w:smartTagPr>
        <w:r w:rsidR="004715F9">
          <w:t>2007 ha</w:t>
        </w:r>
      </w:smartTag>
      <w:r w:rsidR="004715F9">
        <w:t xml:space="preserve"> emanato una vera e propria proposta di </w:t>
      </w:r>
      <w:r w:rsidR="00BF77F8">
        <w:t>R</w:t>
      </w:r>
      <w:r w:rsidR="004715F9">
        <w:t xml:space="preserve">egolamento </w:t>
      </w:r>
      <w:r w:rsidR="005D366F">
        <w:t>relativo all’Organizzazione Comune di Mercato dei prodotti vitivinicoli.</w:t>
      </w:r>
      <w:r w:rsidR="00BF77F8">
        <w:t xml:space="preserve"> Tale documento è attualmente </w:t>
      </w:r>
      <w:r w:rsidR="00A12296">
        <w:t xml:space="preserve">al vaglio del Consiglio dei Ministri Agricoli e del Parlamento Europeo e il testo definitivo dovrebbe vedere la luce (almeno nelle intenzioni della Commissione) </w:t>
      </w:r>
      <w:r w:rsidR="00D85315">
        <w:t>entro la fine del 2007. Se così sarà, ci sarebbero i tempi per l’avvio della nuova OCM dall’agosto 2008, sempre che l’iter legislativo non modifichi tale termine.</w:t>
      </w:r>
    </w:p>
    <w:p w:rsidR="00F177DE" w:rsidRDefault="00D85315" w:rsidP="00341D84">
      <w:pPr>
        <w:jc w:val="both"/>
      </w:pPr>
      <w:r>
        <w:lastRenderedPageBreak/>
        <w:t>In linea generale, anche se la procedura di approvazione del nuovo Regolamento apport</w:t>
      </w:r>
      <w:r w:rsidR="00A51991">
        <w:t>erà varie modifiche rispetto alla proposta della Commissione, in questa sede ci si limiterà ad illustrare i contenuti di quest</w:t>
      </w:r>
      <w:r w:rsidR="000B5B6A">
        <w:t>’</w:t>
      </w:r>
      <w:r w:rsidR="00A51991">
        <w:t>ultima.</w:t>
      </w:r>
    </w:p>
    <w:p w:rsidR="001419EB" w:rsidRDefault="001419EB" w:rsidP="00341D84">
      <w:pPr>
        <w:jc w:val="both"/>
      </w:pPr>
    </w:p>
    <w:p w:rsidR="001419EB" w:rsidRDefault="001419EB" w:rsidP="00341D84">
      <w:pPr>
        <w:jc w:val="both"/>
      </w:pPr>
    </w:p>
    <w:p w:rsidR="001419EB" w:rsidRDefault="001419EB" w:rsidP="00341D84">
      <w:pPr>
        <w:jc w:val="both"/>
      </w:pPr>
    </w:p>
    <w:p w:rsidR="00F177DE" w:rsidRDefault="00F177DE" w:rsidP="00F177DE">
      <w:pPr>
        <w:spacing w:before="480" w:after="240"/>
      </w:pPr>
      <w:r w:rsidRPr="001419EB">
        <w:rPr>
          <w:sz w:val="28"/>
          <w:szCs w:val="28"/>
        </w:rPr>
        <w:t>1.3</w:t>
      </w:r>
      <w:r>
        <w:t xml:space="preserve"> </w:t>
      </w:r>
      <w:r w:rsidR="001419EB">
        <w:t xml:space="preserve"> </w:t>
      </w:r>
      <w:r w:rsidRPr="001419EB">
        <w:rPr>
          <w:sz w:val="28"/>
          <w:szCs w:val="28"/>
        </w:rPr>
        <w:t>I contenuti della proposta di riforma</w:t>
      </w:r>
    </w:p>
    <w:p w:rsidR="00F177DE" w:rsidRDefault="00D6482A" w:rsidP="00341D84">
      <w:pPr>
        <w:jc w:val="both"/>
      </w:pPr>
      <w:r>
        <w:t>La proposta di Regolamento è composta di 118 articoli, 9 allegati e una scheda finanziaria; è quindi molto ampia ed articolata e le misure in essa contenute abbracciano l’intero settore vitivinicolo andando, per così dire, “dal produttore al consumatore”.</w:t>
      </w:r>
    </w:p>
    <w:p w:rsidR="00D6482A" w:rsidRDefault="00D6482A" w:rsidP="00341D84">
      <w:pPr>
        <w:jc w:val="both"/>
      </w:pPr>
      <w:r>
        <w:t>Ed è proprio in questo ordine logico che verranno esposte le principali novità, rispetto alla legislazione vigente, della proposta di riforma:</w:t>
      </w:r>
    </w:p>
    <w:p w:rsidR="00D6482A" w:rsidRDefault="00D6482A" w:rsidP="00341D84">
      <w:pPr>
        <w:jc w:val="both"/>
      </w:pPr>
    </w:p>
    <w:p w:rsidR="00D6482A" w:rsidRDefault="00D6482A" w:rsidP="00132C3C">
      <w:pPr>
        <w:numPr>
          <w:ilvl w:val="0"/>
          <w:numId w:val="4"/>
        </w:numPr>
        <w:spacing w:line="360" w:lineRule="auto"/>
        <w:ind w:left="777" w:hanging="357"/>
        <w:jc w:val="both"/>
      </w:pPr>
      <w:r>
        <w:t>Misure di disciplina del potenziale viticolo</w:t>
      </w:r>
    </w:p>
    <w:p w:rsidR="00D6482A" w:rsidRDefault="00D6482A" w:rsidP="00132C3C">
      <w:pPr>
        <w:numPr>
          <w:ilvl w:val="0"/>
          <w:numId w:val="4"/>
        </w:numPr>
        <w:spacing w:line="360" w:lineRule="auto"/>
        <w:ind w:left="777" w:hanging="357"/>
        <w:jc w:val="both"/>
      </w:pPr>
      <w:r>
        <w:t>Misure di disciplina del mercato vitivinicolo</w:t>
      </w:r>
    </w:p>
    <w:p w:rsidR="00D6482A" w:rsidRDefault="00D6482A" w:rsidP="00132C3C">
      <w:pPr>
        <w:numPr>
          <w:ilvl w:val="0"/>
          <w:numId w:val="4"/>
        </w:numPr>
        <w:spacing w:line="360" w:lineRule="auto"/>
        <w:ind w:left="777" w:hanging="357"/>
        <w:jc w:val="both"/>
      </w:pPr>
      <w:r>
        <w:t>Misure di sostegno e sviluppo rurale</w:t>
      </w:r>
    </w:p>
    <w:p w:rsidR="00D6482A" w:rsidRDefault="00D6482A" w:rsidP="00132C3C">
      <w:pPr>
        <w:numPr>
          <w:ilvl w:val="0"/>
          <w:numId w:val="4"/>
        </w:numPr>
        <w:spacing w:line="360" w:lineRule="auto"/>
        <w:ind w:left="777" w:hanging="357"/>
        <w:jc w:val="both"/>
      </w:pPr>
      <w:r>
        <w:t>Misure in materia di pratiche enologiche</w:t>
      </w:r>
    </w:p>
    <w:p w:rsidR="001419EB" w:rsidRDefault="00D6482A" w:rsidP="00132C3C">
      <w:pPr>
        <w:numPr>
          <w:ilvl w:val="0"/>
          <w:numId w:val="4"/>
        </w:numPr>
        <w:spacing w:line="360" w:lineRule="auto"/>
        <w:ind w:left="777" w:hanging="357"/>
        <w:jc w:val="both"/>
      </w:pPr>
      <w:r>
        <w:t>Misure in materia di etichettatura</w:t>
      </w:r>
    </w:p>
    <w:p w:rsidR="001419EB" w:rsidRDefault="001419EB" w:rsidP="009F491A">
      <w:pPr>
        <w:spacing w:before="480" w:after="120"/>
      </w:pPr>
      <w:r>
        <w:t>1.3</w:t>
      </w:r>
      <w:r w:rsidR="008B35D5">
        <w:t>.</w:t>
      </w:r>
      <w:r>
        <w:t xml:space="preserve">1 </w:t>
      </w:r>
      <w:r w:rsidR="00CF79C0">
        <w:tab/>
      </w:r>
      <w:r>
        <w:t>Le misure di disciplina del potenziale viticolo</w:t>
      </w:r>
    </w:p>
    <w:p w:rsidR="001419EB" w:rsidRDefault="001419EB" w:rsidP="00D419A8">
      <w:pPr>
        <w:jc w:val="both"/>
      </w:pPr>
      <w:r>
        <w:lastRenderedPageBreak/>
        <w:t xml:space="preserve">Le principali novità in questo ambito riguardano principalmente </w:t>
      </w:r>
      <w:r w:rsidR="00D419A8">
        <w:t>l’abolizione del regime dei diritti di impianto, un regime di premi per l’estirpazione volontaria e, collegato a tali provvedimenti, l’inclusione delle superfici vitate ed estirpate nel regime di Pagamento Unico Aziendale.</w:t>
      </w:r>
    </w:p>
    <w:p w:rsidR="00D419A8" w:rsidRDefault="00C5149B" w:rsidP="00D419A8">
      <w:pPr>
        <w:jc w:val="both"/>
      </w:pPr>
      <w:r>
        <w:t xml:space="preserve">Secondo la proposta, a partire dal 1° gennaio 2014 il regime dei diritti di impianto verrà abolito in via definitiva, il che significherebbe una graduale perdita del valore </w:t>
      </w:r>
      <w:r w:rsidR="00AC2AFF">
        <w:t>di tali diritti a partire dall’</w:t>
      </w:r>
      <w:r>
        <w:t xml:space="preserve">entrata in vigore della riforma, </w:t>
      </w:r>
      <w:r w:rsidR="00326CE4">
        <w:t xml:space="preserve">valore che si annullerebbe all’inizio del 2014. Se da più parti si obietta che l’abolizione dei diritti di impianto comporterebbe un danno economico per </w:t>
      </w:r>
      <w:r w:rsidR="009F491A">
        <w:t>i viticoltori</w:t>
      </w:r>
      <w:r w:rsidR="00326CE4">
        <w:t xml:space="preserve"> che non riusci</w:t>
      </w:r>
      <w:r w:rsidR="009F491A">
        <w:t>ssero</w:t>
      </w:r>
      <w:r w:rsidR="00326CE4">
        <w:t xml:space="preserve"> ad ammortizzare l’investimento </w:t>
      </w:r>
      <w:r w:rsidR="006073EE">
        <w:t>entro il 2014, va ricordato che tale proposta rappresenta una proroga rispetto alla legislazione vigente, che ne prevedeva la scadenza già al 2010.</w:t>
      </w:r>
    </w:p>
    <w:p w:rsidR="006073EE" w:rsidRDefault="006073EE" w:rsidP="00D419A8">
      <w:pPr>
        <w:jc w:val="both"/>
      </w:pPr>
      <w:r>
        <w:t xml:space="preserve">L’intenzione dichiarata </w:t>
      </w:r>
      <w:r w:rsidR="00277F8F">
        <w:t xml:space="preserve">dell’abolizione dei diritti di impianto è </w:t>
      </w:r>
      <w:r w:rsidR="009F491A">
        <w:t xml:space="preserve">quella </w:t>
      </w:r>
      <w:r w:rsidR="00277F8F">
        <w:t>di permettere ai produttori più competitivi di espandere la propria produzione s</w:t>
      </w:r>
      <w:r w:rsidR="00332E3E">
        <w:t xml:space="preserve">enza vincoli, ma non prima di aver provveduto all’abolizione di ogni misura di distillazione (per scoraggiare </w:t>
      </w:r>
      <w:r w:rsidR="00AC2AFF">
        <w:t>la produzione di</w:t>
      </w:r>
      <w:r w:rsidR="00332E3E">
        <w:t xml:space="preserve"> vini che non trovano collocazione sul mercato) e d</w:t>
      </w:r>
      <w:r w:rsidR="00017D0B">
        <w:t>opo</w:t>
      </w:r>
      <w:r w:rsidR="00332E3E">
        <w:t xml:space="preserve"> aver permesso ai produttori meno competitivi di uscire dal comparto grazie ai compensi derivanti dal regime di estirpazione volontaria. </w:t>
      </w:r>
      <w:r w:rsidR="009F491A">
        <w:t xml:space="preserve">Lo strumento dei diritti di impianto come misura di controllo dell’offerta verrà infatti abolito solo </w:t>
      </w:r>
      <w:r w:rsidR="00017D0B">
        <w:t>in seguito all’eliminazione dell</w:t>
      </w:r>
      <w:r w:rsidR="009F491A">
        <w:t xml:space="preserve">e misure che incentivano le produzioni eccedentarie (distillazioni) e </w:t>
      </w:r>
      <w:r w:rsidR="00017D0B">
        <w:t>successivamente alla riduzione strutturale dell</w:t>
      </w:r>
      <w:r w:rsidR="009F491A">
        <w:t>a superficie vitata comunitaria</w:t>
      </w:r>
      <w:r w:rsidR="00796140" w:rsidRPr="00796140">
        <w:t xml:space="preserve"> </w:t>
      </w:r>
      <w:r w:rsidR="00796140">
        <w:t>in ragione di 200.000 ettari</w:t>
      </w:r>
      <w:r w:rsidR="009F491A">
        <w:t>, attraverso i</w:t>
      </w:r>
      <w:r w:rsidR="00796140">
        <w:t>ncentivi all’estirpo volontario</w:t>
      </w:r>
      <w:r w:rsidR="009F491A">
        <w:t>.</w:t>
      </w:r>
      <w:r w:rsidR="00A26769">
        <w:t xml:space="preserve"> Il regime di estirpazione volontaria, appunto, prenderebbe avvio non appena la riforma entrerà in </w:t>
      </w:r>
      <w:r w:rsidR="00A26769">
        <w:lastRenderedPageBreak/>
        <w:t xml:space="preserve">vigore (agosto 2008) e si concluderebbe con la campagna viticola </w:t>
      </w:r>
      <w:r w:rsidR="009F491A">
        <w:t xml:space="preserve"> </w:t>
      </w:r>
      <w:r w:rsidR="00A26769">
        <w:t xml:space="preserve">2012/2013 per una durata complessiva di 5 anni. </w:t>
      </w:r>
      <w:r w:rsidR="00137F6E">
        <w:t xml:space="preserve">Per finanziare tale misura la proposta stabilisce una dotazione finanziaria massima annua a livello comunitario (Allegato VII) decrescente dal primo anno (430 milioni di Euro) al quinto anno (59 milioni di Euro); saranno comunque i singoli Paesi membri a stabilire il premio specifico, sulla base della resa storica delle aziende beneficiarie e in conformità con dei criteri che verranno stabiliti dalla Commissione. In linea generale, secondo stime della Commissione basate su dati medi a livello comunitario, </w:t>
      </w:r>
      <w:r w:rsidR="00F24A1B">
        <w:t>il valore medio dei premi dovrebbe aggirarsi attorno ai 7.174 Euro/ha il primo anno e attorno ai 2.938 Euro/ettaro il quinto anno. Va tuttavia sottolineato che questi sono dati medi comunitari basati su stime, mentre il vero valore del premio dipenderà dalla resa storica dell’azienda e da criteri ripartitori per ora ignoti. Si può supporre che il criterio di decrescenza del premio durante il quinquennio serva per incentivare i viticoltori marginali ad abbandonare subito l’attività, incassando un premio di estirpazione relativamente alto.</w:t>
      </w:r>
    </w:p>
    <w:p w:rsidR="002124B7" w:rsidRDefault="002124B7" w:rsidP="00D419A8">
      <w:pPr>
        <w:jc w:val="both"/>
      </w:pPr>
      <w:r>
        <w:t xml:space="preserve">Poiché è presumibile che una parte rilevante delle domande di estirpo si concentrerà nelle zone </w:t>
      </w:r>
      <w:r w:rsidR="007C41FF">
        <w:t>marginali, dove l’agricoltura e la viticoltura sono praticate in condizioni territorialmente difficoltose, si prevede la possibilità, per i singoli Paesi membri, di limitare l’estirpo in aree molto acclivi e “sensibili” dal punto di vista ambientale, e di bloccarlo quando la superficie estirpata raggiungesse il 10% della superficie vitata del Paese.</w:t>
      </w:r>
    </w:p>
    <w:p w:rsidR="001C6A38" w:rsidRDefault="00132C3C" w:rsidP="00D419A8">
      <w:pPr>
        <w:jc w:val="both"/>
      </w:pPr>
      <w:r>
        <w:t xml:space="preserve">Inoltre, le superfici che avranno beneficiato del regime di estirpazione volontaria </w:t>
      </w:r>
      <w:r w:rsidR="00C92ECD">
        <w:t xml:space="preserve">riceveranno un pagamento annuo </w:t>
      </w:r>
      <w:r w:rsidR="00C92ECD">
        <w:lastRenderedPageBreak/>
        <w:t>disaccoppia</w:t>
      </w:r>
      <w:r w:rsidR="001C6A38">
        <w:t>to non superiore ai 350 Euro/ha. Tale norma comporta l’ingresso delle superfici estirpate nel regime</w:t>
      </w:r>
      <w:r w:rsidR="006C7582">
        <w:t xml:space="preserve"> di Pagamento Unico Aziendale e</w:t>
      </w:r>
      <w:r w:rsidR="001C6A38">
        <w:t xml:space="preserve"> dichiara sia e superfici estirpate, sia le superfici vitate superfici ammissibili per il percepimento del Pagamento Unico Aziendale. </w:t>
      </w:r>
      <w:r w:rsidR="00256ADF">
        <w:t xml:space="preserve">Ciò significa che, pur restando la vitivinicoltura un comparto </w:t>
      </w:r>
      <w:r w:rsidR="006C7582">
        <w:t>con peculiarità proprie e quindi con proprie misure di sostegno, il legislatore comunitario intende tuttavia equipararlo, in prospettiva al resto del settore agricolo.</w:t>
      </w:r>
      <w:r w:rsidR="008F067E">
        <w:t xml:space="preserve"> Inoltre l’ingresso di tali superfici nel regime di pagamento unico condiziona l’erogazione degli aiuti al </w:t>
      </w:r>
      <w:r w:rsidR="00E85996">
        <w:t>mantenimento delle stesse in buone condizioni</w:t>
      </w:r>
      <w:r w:rsidR="008F067E">
        <w:t xml:space="preserve"> agronomiche a ambientali </w:t>
      </w:r>
      <w:r w:rsidR="00E85996">
        <w:t>(la cosiddetta  condizionalità ambientale) per evitare fenomeni di abbandono e erosione del suolo, dissesto territoriale e degrado ambientale</w:t>
      </w:r>
      <w:r w:rsidR="008F067E">
        <w:t>.</w:t>
      </w:r>
    </w:p>
    <w:p w:rsidR="006C7582" w:rsidRDefault="006C7582" w:rsidP="006C7582">
      <w:pPr>
        <w:spacing w:before="480" w:after="120"/>
      </w:pPr>
      <w:r>
        <w:t>1.3</w:t>
      </w:r>
      <w:r w:rsidR="008B35D5">
        <w:t>.</w:t>
      </w:r>
      <w:r>
        <w:t xml:space="preserve">2 </w:t>
      </w:r>
      <w:r>
        <w:tab/>
        <w:t>Le misure di disciplina del mercato vitivinicolo</w:t>
      </w:r>
    </w:p>
    <w:p w:rsidR="001419EB" w:rsidRDefault="00A41B2B" w:rsidP="001419EB">
      <w:pPr>
        <w:jc w:val="both"/>
      </w:pPr>
      <w:r>
        <w:t>Come anticipato in precedenza, le misure di intervento sul mercato vengono considerate dalla Commissione causa e incentivo alle produzioni eccedenta</w:t>
      </w:r>
      <w:r w:rsidR="002749CC">
        <w:t>rie, determi</w:t>
      </w:r>
      <w:r w:rsidR="00E038A1">
        <w:t>na</w:t>
      </w:r>
      <w:r w:rsidR="002749CC">
        <w:t>n</w:t>
      </w:r>
      <w:r w:rsidR="00E038A1">
        <w:t>do indirettamente uno squilibri</w:t>
      </w:r>
      <w:r w:rsidR="001F70F8">
        <w:t xml:space="preserve">o tra domanda e offerta di vino; </w:t>
      </w:r>
      <w:r w:rsidR="00E038A1">
        <w:t xml:space="preserve"> per questo motivo, nella proposta di Regolamento si prevede la loro abolizione immediata a partire dall’agosto 2008.</w:t>
      </w:r>
    </w:p>
    <w:p w:rsidR="00E038A1" w:rsidRDefault="00E038A1" w:rsidP="001419EB">
      <w:pPr>
        <w:jc w:val="both"/>
      </w:pPr>
      <w:r>
        <w:t>Le misure che verranno abolite sono:</w:t>
      </w:r>
    </w:p>
    <w:p w:rsidR="00E038A1" w:rsidRDefault="00E038A1" w:rsidP="001419EB">
      <w:pPr>
        <w:jc w:val="both"/>
      </w:pPr>
    </w:p>
    <w:p w:rsidR="00E038A1" w:rsidRDefault="00E038A1" w:rsidP="00E038A1">
      <w:pPr>
        <w:numPr>
          <w:ilvl w:val="0"/>
          <w:numId w:val="5"/>
        </w:numPr>
        <w:spacing w:line="360" w:lineRule="auto"/>
        <w:jc w:val="both"/>
      </w:pPr>
      <w:r>
        <w:t>Distillazione di crisi,</w:t>
      </w:r>
    </w:p>
    <w:p w:rsidR="00E038A1" w:rsidRPr="00E038A1" w:rsidRDefault="00E038A1" w:rsidP="00E038A1">
      <w:pPr>
        <w:numPr>
          <w:ilvl w:val="0"/>
          <w:numId w:val="5"/>
        </w:numPr>
        <w:spacing w:line="360" w:lineRule="auto"/>
        <w:jc w:val="both"/>
      </w:pPr>
      <w:r w:rsidRPr="00E038A1">
        <w:t>Aiuto per distillazione di sottoprodotti</w:t>
      </w:r>
      <w:r>
        <w:t>,</w:t>
      </w:r>
    </w:p>
    <w:p w:rsidR="00E038A1" w:rsidRPr="00E038A1" w:rsidRDefault="00E038A1" w:rsidP="00E038A1">
      <w:pPr>
        <w:numPr>
          <w:ilvl w:val="0"/>
          <w:numId w:val="5"/>
        </w:numPr>
        <w:spacing w:line="360" w:lineRule="auto"/>
        <w:jc w:val="both"/>
      </w:pPr>
      <w:r w:rsidRPr="00E038A1">
        <w:t>Distillazione in alcole per usi commestibili</w:t>
      </w:r>
      <w:r>
        <w:t>,</w:t>
      </w:r>
    </w:p>
    <w:p w:rsidR="00E038A1" w:rsidRPr="00E038A1" w:rsidRDefault="00E038A1" w:rsidP="00E038A1">
      <w:pPr>
        <w:numPr>
          <w:ilvl w:val="0"/>
          <w:numId w:val="5"/>
        </w:numPr>
        <w:spacing w:line="360" w:lineRule="auto"/>
        <w:jc w:val="both"/>
      </w:pPr>
      <w:r w:rsidRPr="00E038A1">
        <w:lastRenderedPageBreak/>
        <w:t>Aiuto la magazzinaggio privato</w:t>
      </w:r>
      <w:r>
        <w:t>,</w:t>
      </w:r>
    </w:p>
    <w:p w:rsidR="00E038A1" w:rsidRPr="00E038A1" w:rsidRDefault="00E038A1" w:rsidP="00E038A1">
      <w:pPr>
        <w:numPr>
          <w:ilvl w:val="0"/>
          <w:numId w:val="5"/>
        </w:numPr>
        <w:spacing w:line="360" w:lineRule="auto"/>
        <w:jc w:val="both"/>
      </w:pPr>
      <w:r w:rsidRPr="00E038A1">
        <w:t>Restituzioni all’esportazione</w:t>
      </w:r>
      <w:r>
        <w:t>,</w:t>
      </w:r>
    </w:p>
    <w:p w:rsidR="00E038A1" w:rsidRDefault="00E038A1" w:rsidP="00E038A1">
      <w:pPr>
        <w:numPr>
          <w:ilvl w:val="0"/>
          <w:numId w:val="5"/>
        </w:numPr>
        <w:spacing w:line="360" w:lineRule="auto"/>
        <w:jc w:val="both"/>
      </w:pPr>
      <w:r w:rsidRPr="00E038A1">
        <w:t>Aiuto per mosto destinato all’arricchimento di vino</w:t>
      </w:r>
    </w:p>
    <w:p w:rsidR="00E038A1" w:rsidRDefault="002749CC" w:rsidP="00E038A1">
      <w:pPr>
        <w:jc w:val="both"/>
      </w:pPr>
      <w:r>
        <w:t>La drasticità della misura (abolizione immediata) lascia presagire che in sede di approvazione tali provvedimenti subiranno delle modifiche, probabilmente con una loro adozione graduale e scaglionata nel tempo; vanno infatti considerati i contraccolpi in termini sociali ed occupazionali che interesserebbero l’industria della distillazione e il suo indotto. Tuttavia, anche se con presumibili compromessi, l’abolizione di alcune delle misure prima cita</w:t>
      </w:r>
      <w:r w:rsidR="00B20A75">
        <w:t xml:space="preserve">te è un </w:t>
      </w:r>
      <w:r w:rsidR="00B3768C">
        <w:t>elemento</w:t>
      </w:r>
      <w:r w:rsidR="00B20A75">
        <w:t xml:space="preserve"> indispensabile per riequilibrare il mercato interno </w:t>
      </w:r>
      <w:r w:rsidR="003D5122">
        <w:t>del vino ponendo un freno alle eccedenze, soprattutto con la prospettiva di aboli</w:t>
      </w:r>
      <w:r w:rsidR="00B3768C">
        <w:t>zion</w:t>
      </w:r>
      <w:r w:rsidR="003D5122">
        <w:t xml:space="preserve">e </w:t>
      </w:r>
      <w:r w:rsidR="00B3768C">
        <w:t>del</w:t>
      </w:r>
      <w:r w:rsidR="003D5122">
        <w:t xml:space="preserve">le misure di contenimento dell’offerta a partire dal 2014. Va inoltre ricordato che le distillazioni di crisi e le restituzioni all’export si configurano come politiche di sostegno del prezzo e in quanto tali </w:t>
      </w:r>
      <w:r w:rsidR="00CD1D81">
        <w:t>rientrano tra le</w:t>
      </w:r>
      <w:r w:rsidR="003D5122">
        <w:t xml:space="preserve"> pratiche “vietate” </w:t>
      </w:r>
      <w:r w:rsidR="00CD1D81">
        <w:t>dal WTO (World Trade Organi</w:t>
      </w:r>
      <w:r w:rsidR="00613B4B">
        <w:t>s</w:t>
      </w:r>
      <w:r w:rsidR="00CD1D81">
        <w:t>ation, Organizzazione Mondiale del Commercio).</w:t>
      </w:r>
    </w:p>
    <w:p w:rsidR="008B35D5" w:rsidRDefault="00CD1D81" w:rsidP="00E038A1">
      <w:pPr>
        <w:jc w:val="both"/>
      </w:pPr>
      <w:r>
        <w:t xml:space="preserve">E’ inoltre probabile che l’aiuto al mosto destinato all’arricchimento di vino verrà abolito solo se </w:t>
      </w:r>
      <w:r w:rsidR="00B935C0">
        <w:t>verrà mantenuta la proposta di abolire lo zuccheraggio; tali pratiche infatti sono adottate rispettivamente dai paesi mediterranei e da quelli continentali per incrementare il grado alcolico dei vini. Se quindi (come pare dalle ultime indiscrezioni) in fase di approvazione venisse reintrodotto lo zuccheraggio, sarebbe giocoforza concedere come contropartita ai paesi mediterranei la reintroduzione dell’aiuto ai mosti destinati all’arricchimento di vino.</w:t>
      </w:r>
    </w:p>
    <w:p w:rsidR="0003540D" w:rsidRDefault="0003540D" w:rsidP="00E038A1">
      <w:pPr>
        <w:jc w:val="both"/>
      </w:pPr>
    </w:p>
    <w:p w:rsidR="00E038A1" w:rsidRPr="00E038A1" w:rsidRDefault="008B35D5" w:rsidP="008B35D5">
      <w:pPr>
        <w:spacing w:before="480" w:after="120"/>
      </w:pPr>
      <w:r>
        <w:t xml:space="preserve">1.3.3 </w:t>
      </w:r>
      <w:r>
        <w:tab/>
        <w:t xml:space="preserve">Le misure di sostegno e  sviluppo rurale </w:t>
      </w:r>
    </w:p>
    <w:p w:rsidR="00E038A1" w:rsidRDefault="008A5BB3" w:rsidP="00E038A1">
      <w:pPr>
        <w:jc w:val="both"/>
      </w:pPr>
      <w:r>
        <w:t xml:space="preserve">Per accompagnare il settore vitivinicolo europeo nella transizione verso la nuova O.C.M. la proposta di </w:t>
      </w:r>
      <w:r w:rsidR="00D94014">
        <w:t>R</w:t>
      </w:r>
      <w:r>
        <w:t>egolamento  prevede il finanziamento di misure di sostegno e di sviluppo rurale che verranno gestite e modulate rispettivamente dai Paesi membri e dalle regioni produttrici di vino all’interno dell’Unione.</w:t>
      </w:r>
    </w:p>
    <w:p w:rsidR="008A5BB3" w:rsidRDefault="007F4ED6" w:rsidP="00E038A1">
      <w:pPr>
        <w:jc w:val="both"/>
      </w:pPr>
      <w:r>
        <w:t xml:space="preserve">Le dotazioni finanziarie nazionali serviranno ai singoli Paesi per promuovere varie misure tra cui la promozione dei prodotti vitivinicoli nei paesi terzi, la ristrutturazione e riconversione dei vigneti, l’aiuto alla vendemmia verde, l’assicurazione contro calamità naturali e la copertura dei costi amministrativi per i fondi di mutualizzazione. </w:t>
      </w:r>
      <w:r w:rsidR="00C866DF">
        <w:t>L</w:t>
      </w:r>
      <w:r>
        <w:t>e misure sono di varia natura ma hanno lo scopo comune di aumentare la competitività dei viticoltori che</w:t>
      </w:r>
      <w:r w:rsidR="00C866DF">
        <w:t>,</w:t>
      </w:r>
      <w:r>
        <w:t xml:space="preserve"> decid</w:t>
      </w:r>
      <w:r w:rsidR="00C866DF">
        <w:t>endo</w:t>
      </w:r>
      <w:r>
        <w:t xml:space="preserve"> di non abbandonare l’attività</w:t>
      </w:r>
      <w:r w:rsidR="00C866DF">
        <w:t>, intendono migliorare</w:t>
      </w:r>
      <w:r>
        <w:t xml:space="preserve"> la qualità delle </w:t>
      </w:r>
      <w:r w:rsidR="00C866DF">
        <w:t xml:space="preserve">proprie </w:t>
      </w:r>
      <w:r>
        <w:t xml:space="preserve">produzioni, adeguandole alle richieste del mercato e promuovendole a livello internazionale. </w:t>
      </w:r>
    </w:p>
    <w:p w:rsidR="00816696" w:rsidRDefault="00816696" w:rsidP="00E038A1">
      <w:pPr>
        <w:jc w:val="both"/>
      </w:pPr>
      <w:r>
        <w:t>Le dotazioni finanziarie nazionali deriveranno da un massimale comunitario crescente dal 2009 (634 milioni di Euro) al 2015 (950 milioni di Euro) che verrà ripartito tra</w:t>
      </w:r>
      <w:r w:rsidR="0065649E">
        <w:t xml:space="preserve"> </w:t>
      </w:r>
      <w:r>
        <w:t>i Paesi sulla base della superficie vitata, della produzione e della resa storica.</w:t>
      </w:r>
    </w:p>
    <w:p w:rsidR="00816696" w:rsidRDefault="00C137AF" w:rsidP="00E038A1">
      <w:pPr>
        <w:jc w:val="both"/>
      </w:pPr>
      <w:r>
        <w:t xml:space="preserve">Parallelamente all’elargizione di dotazioni finanziarie nazionali è previsto un incremento dei fondi per le politiche di sviluppo rurale alle sole regioni produttrici di vino; tale incremento sarà dell’ordine dei 100 milioni di Euro nel 2009 </w:t>
      </w:r>
      <w:r w:rsidR="001F5065">
        <w:t xml:space="preserve">crescente fino a </w:t>
      </w:r>
      <w:r>
        <w:t xml:space="preserve"> </w:t>
      </w:r>
      <w:r w:rsidR="001F5065">
        <w:t xml:space="preserve">400 milioni di Euro </w:t>
      </w:r>
      <w:r w:rsidR="00721CB2">
        <w:t>dal 2014</w:t>
      </w:r>
      <w:r w:rsidR="0065649E">
        <w:t xml:space="preserve">. Ciascuna regione potrà modulare </w:t>
      </w:r>
      <w:r w:rsidR="0065649E">
        <w:lastRenderedPageBreak/>
        <w:t>come ritiene più opportuno l’utilizzo di questi fondi aggiuntivi ripartendoli tra le misure dei piani di sviluppo rurale quali ad esempio le misure agro-ambientali e di manutenzione del paesaggio, il sostegno alle Organizzazioni dei Produttori, la formazione professionale, il miglioram</w:t>
      </w:r>
      <w:r w:rsidR="002D3F85">
        <w:t xml:space="preserve">ento della commercializzazione e l’insediamento di giovani agricoltori. Il  trasferimento di parte delle risorse </w:t>
      </w:r>
      <w:r w:rsidR="00860463">
        <w:t xml:space="preserve">dalle dotazioni finanziarie proprie dell’O.C.M. vino alle politiche di sviluppo rurale viene criticato da più parti, </w:t>
      </w:r>
      <w:r w:rsidR="00241D58">
        <w:t xml:space="preserve">sostenendo </w:t>
      </w:r>
      <w:r w:rsidR="00860463">
        <w:t xml:space="preserve"> </w:t>
      </w:r>
      <w:r w:rsidR="00241D58">
        <w:t xml:space="preserve">che non esistono garanzie che, a livello regionale, tali fondi andranno a beneficio delle aree viticole eventualmente colpite dalla riforma. </w:t>
      </w:r>
      <w:r w:rsidR="00860463">
        <w:t xml:space="preserve"> </w:t>
      </w:r>
      <w:r w:rsidR="00241D58">
        <w:t>Tale argomentazione è valida, tuttavia questo è lo scotto che, prima del vino, tutti gli altri comparti agricoli hanno dovuto pagare, attraverso il meccanismo della modulazione degli aiuti, per finanziare le politiche di sviluppo rurale, considerate il secondo pilastro della Politica Agricola Comunitaria.</w:t>
      </w:r>
    </w:p>
    <w:p w:rsidR="00194EB7" w:rsidRDefault="00194EB7" w:rsidP="00E038A1">
      <w:pPr>
        <w:jc w:val="both"/>
      </w:pPr>
    </w:p>
    <w:p w:rsidR="008002DF" w:rsidRDefault="008002DF" w:rsidP="008002DF">
      <w:pPr>
        <w:numPr>
          <w:ilvl w:val="2"/>
          <w:numId w:val="7"/>
        </w:numPr>
        <w:jc w:val="both"/>
      </w:pPr>
      <w:r>
        <w:t>Le misure in materia di pratiche enologiche</w:t>
      </w:r>
    </w:p>
    <w:p w:rsidR="008002DF" w:rsidRDefault="008002DF" w:rsidP="008002DF">
      <w:pPr>
        <w:jc w:val="both"/>
      </w:pPr>
    </w:p>
    <w:p w:rsidR="008002DF" w:rsidRDefault="00E728E2" w:rsidP="008002DF">
      <w:pPr>
        <w:jc w:val="both"/>
      </w:pPr>
      <w:r>
        <w:t xml:space="preserve">Come accennato in precedenza, con la prevista entrata in vigore della riforma nell’agosto 2008 </w:t>
      </w:r>
      <w:r w:rsidR="00FA1F65">
        <w:t xml:space="preserve">viene proposta l’abolizione simultanea dello zuccheraggio e degli aiuti per i mosti destinati all’arricchimento di vino. In questo modo si contribuirebbe in maniera sostanziale a contenere l’offerta di quelle regioni in cui le condizioni climatiche non permettono ai vini di raggiungere il grado alcolico minimo. Tuttavia questo comporterebbe la scomparsa della viticoltura in intere regioni del centro-nord Europa, ragione per la quale è presumibile che tale misura verrà accantonata o quantomeno ricalibrata, reintroducendo </w:t>
      </w:r>
      <w:r w:rsidR="00FA1F65">
        <w:lastRenderedPageBreak/>
        <w:t>parallelamente l’aiuto per i mosti per evitare forme di concorrenza sleale verso i paesi mediterranei.</w:t>
      </w:r>
    </w:p>
    <w:p w:rsidR="00FA1F65" w:rsidRDefault="00FA1F65" w:rsidP="008002DF">
      <w:pPr>
        <w:jc w:val="both"/>
      </w:pPr>
      <w:r>
        <w:t>Altri provvedimenti in materia riguardano il passaggio dal Consiglio dei ministri Agricoli alla Commissione della competenza nell’approvare nuove pratiche enologiche.</w:t>
      </w:r>
    </w:p>
    <w:p w:rsidR="00FA1F65" w:rsidRDefault="00FA1F65" w:rsidP="008002DF">
      <w:pPr>
        <w:jc w:val="both"/>
      </w:pPr>
      <w:r>
        <w:t xml:space="preserve">Rimarrebbe il divieto di importare mosti da vinificazione così come  </w:t>
      </w:r>
      <w:r w:rsidR="00440699">
        <w:t>il taglio di vini europei con vini importati.</w:t>
      </w:r>
    </w:p>
    <w:p w:rsidR="00440699" w:rsidRDefault="00440699" w:rsidP="008002DF">
      <w:pPr>
        <w:jc w:val="both"/>
      </w:pPr>
      <w:r>
        <w:t>Verrebbero invece consentite le pratiche enologiche vietate all’interno dell’UE qualora queste servano per produrre vini destinati all’esportazione in paesi nei quali quelle stesse pratiche sono ammesse. Tale proposta appare controversa più che altro perché determinerebbe maggiori difficoltà e appesantimenti burocratici nei controlli e</w:t>
      </w:r>
      <w:r w:rsidR="00BB2D67">
        <w:t xml:space="preserve"> quindi</w:t>
      </w:r>
      <w:r>
        <w:t>, secondo indiscrezioni, potrebbe essere accantonata in sede di approvazione definitiva.</w:t>
      </w:r>
    </w:p>
    <w:p w:rsidR="004D66BE" w:rsidRDefault="004D66BE" w:rsidP="008002DF">
      <w:pPr>
        <w:jc w:val="both"/>
      </w:pPr>
    </w:p>
    <w:p w:rsidR="004D66BE" w:rsidRDefault="004D66BE" w:rsidP="008002DF">
      <w:pPr>
        <w:jc w:val="both"/>
      </w:pPr>
    </w:p>
    <w:p w:rsidR="004D66BE" w:rsidRDefault="004D66BE" w:rsidP="008002DF">
      <w:pPr>
        <w:jc w:val="both"/>
      </w:pPr>
    </w:p>
    <w:p w:rsidR="004D66BE" w:rsidRDefault="004D66BE" w:rsidP="004D66BE">
      <w:pPr>
        <w:numPr>
          <w:ilvl w:val="2"/>
          <w:numId w:val="7"/>
        </w:numPr>
        <w:jc w:val="both"/>
      </w:pPr>
      <w:r>
        <w:t>Le misure in materia di etichettatura</w:t>
      </w:r>
    </w:p>
    <w:p w:rsidR="004D66BE" w:rsidRDefault="004D66BE" w:rsidP="008002DF">
      <w:pPr>
        <w:jc w:val="both"/>
      </w:pPr>
    </w:p>
    <w:p w:rsidR="004D66BE" w:rsidRDefault="004D66BE" w:rsidP="008002DF">
      <w:pPr>
        <w:jc w:val="both"/>
      </w:pPr>
      <w:r>
        <w:t xml:space="preserve">All’interno di questa categoria rientrano le misure di promozione e informazione </w:t>
      </w:r>
      <w:r w:rsidR="00CA1E73">
        <w:t xml:space="preserve"> e la nuova disciplina sui vini di qualità.</w:t>
      </w:r>
    </w:p>
    <w:p w:rsidR="00CA1E73" w:rsidRDefault="00CA1E73" w:rsidP="008002DF">
      <w:pPr>
        <w:jc w:val="both"/>
      </w:pPr>
      <w:r>
        <w:t>Le misure di informazione e promozione verr</w:t>
      </w:r>
      <w:r w:rsidR="00DF427F">
        <w:t>ebber</w:t>
      </w:r>
      <w:r>
        <w:t>o cofinanziate da dotazioni finanziarie nazionali e fondi UE (quasi sempre nella misura del 50%)  a partire dal 2009 e  prevedono la promozione dei vini europei nei paesi terzi, delle campagne informative all’interno dell’UE sui vini di qualità e sul consumo responsabile e moderato di vino.</w:t>
      </w:r>
    </w:p>
    <w:p w:rsidR="00CA1E73" w:rsidRDefault="008F067E" w:rsidP="008002DF">
      <w:pPr>
        <w:jc w:val="both"/>
      </w:pPr>
      <w:r>
        <w:lastRenderedPageBreak/>
        <w:t xml:space="preserve">La proposta di </w:t>
      </w:r>
      <w:r w:rsidR="00D94014">
        <w:t>R</w:t>
      </w:r>
      <w:r>
        <w:t xml:space="preserve">egolamento prevede una sostanziale riforma delle regole di </w:t>
      </w:r>
      <w:r w:rsidR="00D94014">
        <w:t xml:space="preserve">denominazione </w:t>
      </w:r>
      <w:r w:rsidR="00985925">
        <w:t xml:space="preserve">e protezione </w:t>
      </w:r>
      <w:r w:rsidR="00D94014">
        <w:t xml:space="preserve">dei vini di qualità, passando dal concetto di Vini di Qualità Prodotti in Regioni Determinate (V.Q.P.R.D.) </w:t>
      </w:r>
      <w:r w:rsidR="00DF427F">
        <w:t xml:space="preserve">al </w:t>
      </w:r>
      <w:r w:rsidR="00BB2D67">
        <w:t xml:space="preserve">quello </w:t>
      </w:r>
      <w:r w:rsidR="00DF427F">
        <w:t>di Indicazione Geografica</w:t>
      </w:r>
      <w:r w:rsidR="00D94014">
        <w:t xml:space="preserve"> con </w:t>
      </w:r>
      <w:r w:rsidR="00DF427F">
        <w:t xml:space="preserve">l’ingresso dei vini nel </w:t>
      </w:r>
      <w:r w:rsidR="00985925">
        <w:t>regime di</w:t>
      </w:r>
      <w:r w:rsidR="00D94014">
        <w:t xml:space="preserve"> denominazion</w:t>
      </w:r>
      <w:r w:rsidR="00985925">
        <w:t>e</w:t>
      </w:r>
      <w:r w:rsidR="00D94014">
        <w:t xml:space="preserve"> che disciplina  tutti gli altri prodotti alimentari</w:t>
      </w:r>
      <w:r w:rsidR="00985925">
        <w:t xml:space="preserve"> ai sensi del Reg</w:t>
      </w:r>
      <w:r w:rsidR="00BB2D67">
        <w:t>.</w:t>
      </w:r>
      <w:r w:rsidR="00985925">
        <w:t xml:space="preserve"> (CE) 510/2006. Si </w:t>
      </w:r>
      <w:r w:rsidR="00DF427F">
        <w:t xml:space="preserve">verrebbero ad avere </w:t>
      </w:r>
      <w:r w:rsidR="00985925">
        <w:t xml:space="preserve"> quindi, a livello comunitario, vini a Denominazione di Origine Protetta e vini a Indicazione Geografica Protetta.</w:t>
      </w:r>
    </w:p>
    <w:p w:rsidR="00806B54" w:rsidRDefault="00985925" w:rsidP="001419EB">
      <w:pPr>
        <w:jc w:val="both"/>
      </w:pPr>
      <w:r>
        <w:t>Tale provvedimento, se da una parte mira a semplificare la disciplina della denominazione e protezione dei prodotti, rendendone più chiara e semplice la comprensione anche per i consumatori, dall’altra potrebbe rappresentare, almeno in termini di immagine, una minaccia per la lunga tradizione dei vini di qualità italiani, specialmente per quelli a Denominazione di Origine</w:t>
      </w:r>
      <w:r w:rsidR="00E15D7B">
        <w:t xml:space="preserve">. </w:t>
      </w:r>
      <w:r w:rsidR="00DF427F">
        <w:t xml:space="preserve">Va tuttavia considerato che questa è solo un’eventualità, poiché la fidelizzazione del consumatore non è necessariamente legata a questioni di denominazione quanto piuttosto a una percezione più estesa del concetto di qualità, legato tanto alle caratteristiche del prodotto quanto alla </w:t>
      </w:r>
      <w:r w:rsidR="009D32FF">
        <w:t>zona di origine</w:t>
      </w:r>
      <w:r w:rsidR="00DF427F">
        <w:t>.</w:t>
      </w:r>
    </w:p>
    <w:p w:rsidR="00DF427F" w:rsidRDefault="00DF427F" w:rsidP="001419EB">
      <w:pPr>
        <w:jc w:val="both"/>
      </w:pPr>
      <w:r>
        <w:t xml:space="preserve">Una questione più di fondo riguarda </w:t>
      </w:r>
      <w:r w:rsidR="009D32FF">
        <w:t>invece il potenziale allentamento tra zona di produzione e il luogo di trasformazione del prodotto con la nuova disciplina; in altri termini si teme che la Indicazione Geografica si riferisca unicamente alla zona di produzione delle uve senza alcun vincolo (se non quello volontariamente indicato nel disciplinare) legato al luogo di vinificazione.</w:t>
      </w:r>
    </w:p>
    <w:sectPr w:rsidR="00DF427F" w:rsidSect="00B44D1C">
      <w:footerReference w:type="even" r:id="rId7"/>
      <w:footerReference w:type="default" r:id="rId8"/>
      <w:pgSz w:w="8419" w:h="11906" w:orient="landscape" w:code="9"/>
      <w:pgMar w:top="1701" w:right="1134"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0765" w:rsidRDefault="00610765">
      <w:r>
        <w:separator/>
      </w:r>
    </w:p>
  </w:endnote>
  <w:endnote w:type="continuationSeparator" w:id="0">
    <w:p w:rsidR="00610765" w:rsidRDefault="006107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40D" w:rsidRDefault="0003540D" w:rsidP="00CE352F">
    <w:pPr>
      <w:pStyle w:val="Pidipagina"/>
      <w:framePr w:wrap="around" w:vAnchor="text" w:hAnchor="margin" w:xAlign="outside" w:y="1"/>
      <w:rPr>
        <w:rStyle w:val="Numeropagina"/>
      </w:rPr>
    </w:pPr>
    <w:r>
      <w:rPr>
        <w:rStyle w:val="Numeropagina"/>
      </w:rPr>
      <w:fldChar w:fldCharType="begin"/>
    </w:r>
    <w:r>
      <w:rPr>
        <w:rStyle w:val="Numeropagina"/>
      </w:rPr>
      <w:instrText xml:space="preserve">PAGE  </w:instrText>
    </w:r>
    <w:r>
      <w:rPr>
        <w:rStyle w:val="Numeropagina"/>
      </w:rPr>
      <w:fldChar w:fldCharType="end"/>
    </w:r>
  </w:p>
  <w:p w:rsidR="0003540D" w:rsidRDefault="0003540D" w:rsidP="00A66BBD">
    <w:pPr>
      <w:pStyle w:val="Pidipagin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40D" w:rsidRDefault="0003540D" w:rsidP="00CE352F">
    <w:pPr>
      <w:pStyle w:val="Pidipagina"/>
      <w:framePr w:wrap="around" w:vAnchor="text" w:hAnchor="margin" w:xAlign="outside" w:y="1"/>
      <w:rPr>
        <w:rStyle w:val="Numeropagina"/>
      </w:rPr>
    </w:pPr>
    <w:r>
      <w:rPr>
        <w:rStyle w:val="Numeropagina"/>
      </w:rPr>
      <w:fldChar w:fldCharType="begin"/>
    </w:r>
    <w:r>
      <w:rPr>
        <w:rStyle w:val="Numeropagina"/>
      </w:rPr>
      <w:instrText xml:space="preserve">PAGE  </w:instrText>
    </w:r>
    <w:r>
      <w:rPr>
        <w:rStyle w:val="Numeropagina"/>
      </w:rPr>
      <w:fldChar w:fldCharType="separate"/>
    </w:r>
    <w:r w:rsidR="00C03B41">
      <w:rPr>
        <w:rStyle w:val="Numeropagina"/>
        <w:noProof/>
      </w:rPr>
      <w:t>1</w:t>
    </w:r>
    <w:r>
      <w:rPr>
        <w:rStyle w:val="Numeropagina"/>
      </w:rPr>
      <w:fldChar w:fldCharType="end"/>
    </w:r>
  </w:p>
  <w:p w:rsidR="0003540D" w:rsidRDefault="0003540D" w:rsidP="00A66BBD">
    <w:pPr>
      <w:pStyle w:val="Pidipagina"/>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0765" w:rsidRDefault="00610765">
      <w:r>
        <w:separator/>
      </w:r>
    </w:p>
  </w:footnote>
  <w:footnote w:type="continuationSeparator" w:id="0">
    <w:p w:rsidR="00610765" w:rsidRDefault="0061076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D7AD1"/>
    <w:multiLevelType w:val="hybridMultilevel"/>
    <w:tmpl w:val="EDCAF6F6"/>
    <w:lvl w:ilvl="0" w:tplc="0410000F">
      <w:start w:val="1"/>
      <w:numFmt w:val="decimal"/>
      <w:lvlText w:val="%1."/>
      <w:lvlJc w:val="left"/>
      <w:pPr>
        <w:tabs>
          <w:tab w:val="num" w:pos="780"/>
        </w:tabs>
        <w:ind w:left="780" w:hanging="360"/>
      </w:pPr>
    </w:lvl>
    <w:lvl w:ilvl="1" w:tplc="04100019" w:tentative="1">
      <w:start w:val="1"/>
      <w:numFmt w:val="lowerLetter"/>
      <w:lvlText w:val="%2."/>
      <w:lvlJc w:val="left"/>
      <w:pPr>
        <w:tabs>
          <w:tab w:val="num" w:pos="1500"/>
        </w:tabs>
        <w:ind w:left="1500" w:hanging="360"/>
      </w:pPr>
    </w:lvl>
    <w:lvl w:ilvl="2" w:tplc="0410001B" w:tentative="1">
      <w:start w:val="1"/>
      <w:numFmt w:val="lowerRoman"/>
      <w:lvlText w:val="%3."/>
      <w:lvlJc w:val="right"/>
      <w:pPr>
        <w:tabs>
          <w:tab w:val="num" w:pos="2220"/>
        </w:tabs>
        <w:ind w:left="2220" w:hanging="180"/>
      </w:pPr>
    </w:lvl>
    <w:lvl w:ilvl="3" w:tplc="0410000F" w:tentative="1">
      <w:start w:val="1"/>
      <w:numFmt w:val="decimal"/>
      <w:lvlText w:val="%4."/>
      <w:lvlJc w:val="left"/>
      <w:pPr>
        <w:tabs>
          <w:tab w:val="num" w:pos="2940"/>
        </w:tabs>
        <w:ind w:left="2940" w:hanging="360"/>
      </w:pPr>
    </w:lvl>
    <w:lvl w:ilvl="4" w:tplc="04100019" w:tentative="1">
      <w:start w:val="1"/>
      <w:numFmt w:val="lowerLetter"/>
      <w:lvlText w:val="%5."/>
      <w:lvlJc w:val="left"/>
      <w:pPr>
        <w:tabs>
          <w:tab w:val="num" w:pos="3660"/>
        </w:tabs>
        <w:ind w:left="3660" w:hanging="360"/>
      </w:pPr>
    </w:lvl>
    <w:lvl w:ilvl="5" w:tplc="0410001B" w:tentative="1">
      <w:start w:val="1"/>
      <w:numFmt w:val="lowerRoman"/>
      <w:lvlText w:val="%6."/>
      <w:lvlJc w:val="right"/>
      <w:pPr>
        <w:tabs>
          <w:tab w:val="num" w:pos="4380"/>
        </w:tabs>
        <w:ind w:left="4380" w:hanging="180"/>
      </w:pPr>
    </w:lvl>
    <w:lvl w:ilvl="6" w:tplc="0410000F" w:tentative="1">
      <w:start w:val="1"/>
      <w:numFmt w:val="decimal"/>
      <w:lvlText w:val="%7."/>
      <w:lvlJc w:val="left"/>
      <w:pPr>
        <w:tabs>
          <w:tab w:val="num" w:pos="5100"/>
        </w:tabs>
        <w:ind w:left="5100" w:hanging="360"/>
      </w:pPr>
    </w:lvl>
    <w:lvl w:ilvl="7" w:tplc="04100019" w:tentative="1">
      <w:start w:val="1"/>
      <w:numFmt w:val="lowerLetter"/>
      <w:lvlText w:val="%8."/>
      <w:lvlJc w:val="left"/>
      <w:pPr>
        <w:tabs>
          <w:tab w:val="num" w:pos="5820"/>
        </w:tabs>
        <w:ind w:left="5820" w:hanging="360"/>
      </w:pPr>
    </w:lvl>
    <w:lvl w:ilvl="8" w:tplc="0410001B" w:tentative="1">
      <w:start w:val="1"/>
      <w:numFmt w:val="lowerRoman"/>
      <w:lvlText w:val="%9."/>
      <w:lvlJc w:val="right"/>
      <w:pPr>
        <w:tabs>
          <w:tab w:val="num" w:pos="6540"/>
        </w:tabs>
        <w:ind w:left="6540" w:hanging="180"/>
      </w:pPr>
    </w:lvl>
  </w:abstractNum>
  <w:abstractNum w:abstractNumId="1">
    <w:nsid w:val="16184F87"/>
    <w:multiLevelType w:val="hybridMultilevel"/>
    <w:tmpl w:val="570A8E9C"/>
    <w:lvl w:ilvl="0" w:tplc="CDB40D6A">
      <w:start w:val="1"/>
      <w:numFmt w:val="bullet"/>
      <w:lvlText w:val=""/>
      <w:lvlJc w:val="left"/>
      <w:pPr>
        <w:tabs>
          <w:tab w:val="num" w:pos="284"/>
        </w:tabs>
        <w:ind w:left="227" w:hanging="227"/>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nsid w:val="1BE42B92"/>
    <w:multiLevelType w:val="hybridMultilevel"/>
    <w:tmpl w:val="5A281654"/>
    <w:lvl w:ilvl="0" w:tplc="04100005">
      <w:start w:val="1"/>
      <w:numFmt w:val="bullet"/>
      <w:lvlText w:val=""/>
      <w:lvlJc w:val="left"/>
      <w:pPr>
        <w:tabs>
          <w:tab w:val="num" w:pos="780"/>
        </w:tabs>
        <w:ind w:left="780" w:hanging="360"/>
      </w:pPr>
      <w:rPr>
        <w:rFonts w:ascii="Wingdings" w:hAnsi="Wingdings" w:hint="default"/>
      </w:rPr>
    </w:lvl>
    <w:lvl w:ilvl="1" w:tplc="04100019" w:tentative="1">
      <w:start w:val="1"/>
      <w:numFmt w:val="lowerLetter"/>
      <w:lvlText w:val="%2."/>
      <w:lvlJc w:val="left"/>
      <w:pPr>
        <w:tabs>
          <w:tab w:val="num" w:pos="1500"/>
        </w:tabs>
        <w:ind w:left="1500" w:hanging="360"/>
      </w:pPr>
    </w:lvl>
    <w:lvl w:ilvl="2" w:tplc="0410001B" w:tentative="1">
      <w:start w:val="1"/>
      <w:numFmt w:val="lowerRoman"/>
      <w:lvlText w:val="%3."/>
      <w:lvlJc w:val="right"/>
      <w:pPr>
        <w:tabs>
          <w:tab w:val="num" w:pos="2220"/>
        </w:tabs>
        <w:ind w:left="2220" w:hanging="180"/>
      </w:pPr>
    </w:lvl>
    <w:lvl w:ilvl="3" w:tplc="0410000F" w:tentative="1">
      <w:start w:val="1"/>
      <w:numFmt w:val="decimal"/>
      <w:lvlText w:val="%4."/>
      <w:lvlJc w:val="left"/>
      <w:pPr>
        <w:tabs>
          <w:tab w:val="num" w:pos="2940"/>
        </w:tabs>
        <w:ind w:left="2940" w:hanging="360"/>
      </w:pPr>
    </w:lvl>
    <w:lvl w:ilvl="4" w:tplc="04100019" w:tentative="1">
      <w:start w:val="1"/>
      <w:numFmt w:val="lowerLetter"/>
      <w:lvlText w:val="%5."/>
      <w:lvlJc w:val="left"/>
      <w:pPr>
        <w:tabs>
          <w:tab w:val="num" w:pos="3660"/>
        </w:tabs>
        <w:ind w:left="3660" w:hanging="360"/>
      </w:pPr>
    </w:lvl>
    <w:lvl w:ilvl="5" w:tplc="0410001B" w:tentative="1">
      <w:start w:val="1"/>
      <w:numFmt w:val="lowerRoman"/>
      <w:lvlText w:val="%6."/>
      <w:lvlJc w:val="right"/>
      <w:pPr>
        <w:tabs>
          <w:tab w:val="num" w:pos="4380"/>
        </w:tabs>
        <w:ind w:left="4380" w:hanging="180"/>
      </w:pPr>
    </w:lvl>
    <w:lvl w:ilvl="6" w:tplc="0410000F" w:tentative="1">
      <w:start w:val="1"/>
      <w:numFmt w:val="decimal"/>
      <w:lvlText w:val="%7."/>
      <w:lvlJc w:val="left"/>
      <w:pPr>
        <w:tabs>
          <w:tab w:val="num" w:pos="5100"/>
        </w:tabs>
        <w:ind w:left="5100" w:hanging="360"/>
      </w:pPr>
    </w:lvl>
    <w:lvl w:ilvl="7" w:tplc="04100019" w:tentative="1">
      <w:start w:val="1"/>
      <w:numFmt w:val="lowerLetter"/>
      <w:lvlText w:val="%8."/>
      <w:lvlJc w:val="left"/>
      <w:pPr>
        <w:tabs>
          <w:tab w:val="num" w:pos="5820"/>
        </w:tabs>
        <w:ind w:left="5820" w:hanging="360"/>
      </w:pPr>
    </w:lvl>
    <w:lvl w:ilvl="8" w:tplc="0410001B" w:tentative="1">
      <w:start w:val="1"/>
      <w:numFmt w:val="lowerRoman"/>
      <w:lvlText w:val="%9."/>
      <w:lvlJc w:val="right"/>
      <w:pPr>
        <w:tabs>
          <w:tab w:val="num" w:pos="6540"/>
        </w:tabs>
        <w:ind w:left="6540" w:hanging="180"/>
      </w:pPr>
    </w:lvl>
  </w:abstractNum>
  <w:abstractNum w:abstractNumId="3">
    <w:nsid w:val="4C481FDF"/>
    <w:multiLevelType w:val="hybridMultilevel"/>
    <w:tmpl w:val="C318F822"/>
    <w:lvl w:ilvl="0" w:tplc="B10EFA00">
      <w:start w:val="1"/>
      <w:numFmt w:val="bullet"/>
      <w:lvlText w:val="•"/>
      <w:lvlJc w:val="left"/>
      <w:pPr>
        <w:tabs>
          <w:tab w:val="num" w:pos="720"/>
        </w:tabs>
        <w:ind w:left="720" w:hanging="360"/>
      </w:pPr>
      <w:rPr>
        <w:rFonts w:ascii="Times New Roman" w:hAnsi="Times New Roman" w:hint="default"/>
      </w:rPr>
    </w:lvl>
    <w:lvl w:ilvl="1" w:tplc="7922A896" w:tentative="1">
      <w:start w:val="1"/>
      <w:numFmt w:val="bullet"/>
      <w:lvlText w:val="•"/>
      <w:lvlJc w:val="left"/>
      <w:pPr>
        <w:tabs>
          <w:tab w:val="num" w:pos="1440"/>
        </w:tabs>
        <w:ind w:left="1440" w:hanging="360"/>
      </w:pPr>
      <w:rPr>
        <w:rFonts w:ascii="Times New Roman" w:hAnsi="Times New Roman" w:hint="default"/>
      </w:rPr>
    </w:lvl>
    <w:lvl w:ilvl="2" w:tplc="197E73BC" w:tentative="1">
      <w:start w:val="1"/>
      <w:numFmt w:val="bullet"/>
      <w:lvlText w:val="•"/>
      <w:lvlJc w:val="left"/>
      <w:pPr>
        <w:tabs>
          <w:tab w:val="num" w:pos="2160"/>
        </w:tabs>
        <w:ind w:left="2160" w:hanging="360"/>
      </w:pPr>
      <w:rPr>
        <w:rFonts w:ascii="Times New Roman" w:hAnsi="Times New Roman" w:hint="default"/>
      </w:rPr>
    </w:lvl>
    <w:lvl w:ilvl="3" w:tplc="5942BC74" w:tentative="1">
      <w:start w:val="1"/>
      <w:numFmt w:val="bullet"/>
      <w:lvlText w:val="•"/>
      <w:lvlJc w:val="left"/>
      <w:pPr>
        <w:tabs>
          <w:tab w:val="num" w:pos="2880"/>
        </w:tabs>
        <w:ind w:left="2880" w:hanging="360"/>
      </w:pPr>
      <w:rPr>
        <w:rFonts w:ascii="Times New Roman" w:hAnsi="Times New Roman" w:hint="default"/>
      </w:rPr>
    </w:lvl>
    <w:lvl w:ilvl="4" w:tplc="47F633C6" w:tentative="1">
      <w:start w:val="1"/>
      <w:numFmt w:val="bullet"/>
      <w:lvlText w:val="•"/>
      <w:lvlJc w:val="left"/>
      <w:pPr>
        <w:tabs>
          <w:tab w:val="num" w:pos="3600"/>
        </w:tabs>
        <w:ind w:left="3600" w:hanging="360"/>
      </w:pPr>
      <w:rPr>
        <w:rFonts w:ascii="Times New Roman" w:hAnsi="Times New Roman" w:hint="default"/>
      </w:rPr>
    </w:lvl>
    <w:lvl w:ilvl="5" w:tplc="9FDAEFFE" w:tentative="1">
      <w:start w:val="1"/>
      <w:numFmt w:val="bullet"/>
      <w:lvlText w:val="•"/>
      <w:lvlJc w:val="left"/>
      <w:pPr>
        <w:tabs>
          <w:tab w:val="num" w:pos="4320"/>
        </w:tabs>
        <w:ind w:left="4320" w:hanging="360"/>
      </w:pPr>
      <w:rPr>
        <w:rFonts w:ascii="Times New Roman" w:hAnsi="Times New Roman" w:hint="default"/>
      </w:rPr>
    </w:lvl>
    <w:lvl w:ilvl="6" w:tplc="643CE892" w:tentative="1">
      <w:start w:val="1"/>
      <w:numFmt w:val="bullet"/>
      <w:lvlText w:val="•"/>
      <w:lvlJc w:val="left"/>
      <w:pPr>
        <w:tabs>
          <w:tab w:val="num" w:pos="5040"/>
        </w:tabs>
        <w:ind w:left="5040" w:hanging="360"/>
      </w:pPr>
      <w:rPr>
        <w:rFonts w:ascii="Times New Roman" w:hAnsi="Times New Roman" w:hint="default"/>
      </w:rPr>
    </w:lvl>
    <w:lvl w:ilvl="7" w:tplc="B1BAC58C" w:tentative="1">
      <w:start w:val="1"/>
      <w:numFmt w:val="bullet"/>
      <w:lvlText w:val="•"/>
      <w:lvlJc w:val="left"/>
      <w:pPr>
        <w:tabs>
          <w:tab w:val="num" w:pos="5760"/>
        </w:tabs>
        <w:ind w:left="5760" w:hanging="360"/>
      </w:pPr>
      <w:rPr>
        <w:rFonts w:ascii="Times New Roman" w:hAnsi="Times New Roman" w:hint="default"/>
      </w:rPr>
    </w:lvl>
    <w:lvl w:ilvl="8" w:tplc="3664E734" w:tentative="1">
      <w:start w:val="1"/>
      <w:numFmt w:val="bullet"/>
      <w:lvlText w:val="•"/>
      <w:lvlJc w:val="left"/>
      <w:pPr>
        <w:tabs>
          <w:tab w:val="num" w:pos="6480"/>
        </w:tabs>
        <w:ind w:left="6480" w:hanging="360"/>
      </w:pPr>
      <w:rPr>
        <w:rFonts w:ascii="Times New Roman" w:hAnsi="Times New Roman" w:hint="default"/>
      </w:rPr>
    </w:lvl>
  </w:abstractNum>
  <w:abstractNum w:abstractNumId="4">
    <w:nsid w:val="54021D40"/>
    <w:multiLevelType w:val="multilevel"/>
    <w:tmpl w:val="B644D492"/>
    <w:lvl w:ilvl="0">
      <w:start w:val="1"/>
      <w:numFmt w:val="decimal"/>
      <w:lvlText w:val="%1"/>
      <w:lvlJc w:val="left"/>
      <w:pPr>
        <w:tabs>
          <w:tab w:val="num" w:pos="705"/>
        </w:tabs>
        <w:ind w:left="705" w:hanging="705"/>
      </w:pPr>
      <w:rPr>
        <w:rFonts w:hint="default"/>
      </w:rPr>
    </w:lvl>
    <w:lvl w:ilvl="1">
      <w:start w:val="3"/>
      <w:numFmt w:val="decimal"/>
      <w:lvlText w:val="%1.%2"/>
      <w:lvlJc w:val="left"/>
      <w:pPr>
        <w:tabs>
          <w:tab w:val="num" w:pos="705"/>
        </w:tabs>
        <w:ind w:left="705" w:hanging="705"/>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73803D83"/>
    <w:multiLevelType w:val="multilevel"/>
    <w:tmpl w:val="AC9C5FE2"/>
    <w:lvl w:ilvl="0">
      <w:start w:val="1"/>
      <w:numFmt w:val="bullet"/>
      <w:lvlText w:val=""/>
      <w:lvlJc w:val="left"/>
      <w:pPr>
        <w:tabs>
          <w:tab w:val="num" w:pos="703"/>
        </w:tabs>
        <w:ind w:left="703" w:hanging="283"/>
      </w:pPr>
      <w:rPr>
        <w:rFonts w:ascii="Symbol" w:hAnsi="Symbol" w:hint="default"/>
      </w:rPr>
    </w:lvl>
    <w:lvl w:ilvl="1">
      <w:start w:val="1"/>
      <w:numFmt w:val="lowerLetter"/>
      <w:lvlText w:val="%2."/>
      <w:lvlJc w:val="left"/>
      <w:pPr>
        <w:tabs>
          <w:tab w:val="num" w:pos="1500"/>
        </w:tabs>
        <w:ind w:left="1500" w:hanging="360"/>
      </w:pPr>
    </w:lvl>
    <w:lvl w:ilvl="2">
      <w:start w:val="1"/>
      <w:numFmt w:val="lowerRoman"/>
      <w:lvlText w:val="%3."/>
      <w:lvlJc w:val="right"/>
      <w:pPr>
        <w:tabs>
          <w:tab w:val="num" w:pos="2220"/>
        </w:tabs>
        <w:ind w:left="2220" w:hanging="180"/>
      </w:p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6">
    <w:nsid w:val="7801169E"/>
    <w:multiLevelType w:val="hybridMultilevel"/>
    <w:tmpl w:val="AC9C5FE2"/>
    <w:lvl w:ilvl="0" w:tplc="BE903908">
      <w:start w:val="1"/>
      <w:numFmt w:val="bullet"/>
      <w:lvlText w:val=""/>
      <w:lvlJc w:val="left"/>
      <w:pPr>
        <w:tabs>
          <w:tab w:val="num" w:pos="703"/>
        </w:tabs>
        <w:ind w:left="703" w:hanging="283"/>
      </w:pPr>
      <w:rPr>
        <w:rFonts w:ascii="Symbol" w:hAnsi="Symbol" w:hint="default"/>
      </w:rPr>
    </w:lvl>
    <w:lvl w:ilvl="1" w:tplc="04100019" w:tentative="1">
      <w:start w:val="1"/>
      <w:numFmt w:val="lowerLetter"/>
      <w:lvlText w:val="%2."/>
      <w:lvlJc w:val="left"/>
      <w:pPr>
        <w:tabs>
          <w:tab w:val="num" w:pos="1500"/>
        </w:tabs>
        <w:ind w:left="1500" w:hanging="360"/>
      </w:pPr>
    </w:lvl>
    <w:lvl w:ilvl="2" w:tplc="0410001B" w:tentative="1">
      <w:start w:val="1"/>
      <w:numFmt w:val="lowerRoman"/>
      <w:lvlText w:val="%3."/>
      <w:lvlJc w:val="right"/>
      <w:pPr>
        <w:tabs>
          <w:tab w:val="num" w:pos="2220"/>
        </w:tabs>
        <w:ind w:left="2220" w:hanging="180"/>
      </w:pPr>
    </w:lvl>
    <w:lvl w:ilvl="3" w:tplc="0410000F" w:tentative="1">
      <w:start w:val="1"/>
      <w:numFmt w:val="decimal"/>
      <w:lvlText w:val="%4."/>
      <w:lvlJc w:val="left"/>
      <w:pPr>
        <w:tabs>
          <w:tab w:val="num" w:pos="2940"/>
        </w:tabs>
        <w:ind w:left="2940" w:hanging="360"/>
      </w:pPr>
    </w:lvl>
    <w:lvl w:ilvl="4" w:tplc="04100019" w:tentative="1">
      <w:start w:val="1"/>
      <w:numFmt w:val="lowerLetter"/>
      <w:lvlText w:val="%5."/>
      <w:lvlJc w:val="left"/>
      <w:pPr>
        <w:tabs>
          <w:tab w:val="num" w:pos="3660"/>
        </w:tabs>
        <w:ind w:left="3660" w:hanging="360"/>
      </w:pPr>
    </w:lvl>
    <w:lvl w:ilvl="5" w:tplc="0410001B" w:tentative="1">
      <w:start w:val="1"/>
      <w:numFmt w:val="lowerRoman"/>
      <w:lvlText w:val="%6."/>
      <w:lvlJc w:val="right"/>
      <w:pPr>
        <w:tabs>
          <w:tab w:val="num" w:pos="4380"/>
        </w:tabs>
        <w:ind w:left="4380" w:hanging="180"/>
      </w:pPr>
    </w:lvl>
    <w:lvl w:ilvl="6" w:tplc="0410000F" w:tentative="1">
      <w:start w:val="1"/>
      <w:numFmt w:val="decimal"/>
      <w:lvlText w:val="%7."/>
      <w:lvlJc w:val="left"/>
      <w:pPr>
        <w:tabs>
          <w:tab w:val="num" w:pos="5100"/>
        </w:tabs>
        <w:ind w:left="5100" w:hanging="360"/>
      </w:pPr>
    </w:lvl>
    <w:lvl w:ilvl="7" w:tplc="04100019" w:tentative="1">
      <w:start w:val="1"/>
      <w:numFmt w:val="lowerLetter"/>
      <w:lvlText w:val="%8."/>
      <w:lvlJc w:val="left"/>
      <w:pPr>
        <w:tabs>
          <w:tab w:val="num" w:pos="5820"/>
        </w:tabs>
        <w:ind w:left="5820" w:hanging="360"/>
      </w:pPr>
    </w:lvl>
    <w:lvl w:ilvl="8" w:tplc="0410001B" w:tentative="1">
      <w:start w:val="1"/>
      <w:numFmt w:val="lowerRoman"/>
      <w:lvlText w:val="%9."/>
      <w:lvlJc w:val="right"/>
      <w:pPr>
        <w:tabs>
          <w:tab w:val="num" w:pos="6540"/>
        </w:tabs>
        <w:ind w:left="6540" w:hanging="180"/>
      </w:pPr>
    </w:lvl>
  </w:abstractNum>
  <w:num w:numId="1">
    <w:abstractNumId w:val="0"/>
  </w:num>
  <w:num w:numId="2">
    <w:abstractNumId w:val="6"/>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efaultTabStop w:val="708"/>
  <w:hyphenationZone w:val="283"/>
  <w:bookFoldPrinting/>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7019A6"/>
    <w:rsid w:val="00015856"/>
    <w:rsid w:val="00017D0B"/>
    <w:rsid w:val="0003540D"/>
    <w:rsid w:val="0005251C"/>
    <w:rsid w:val="0009269A"/>
    <w:rsid w:val="000937D9"/>
    <w:rsid w:val="000A7D65"/>
    <w:rsid w:val="000B5B6A"/>
    <w:rsid w:val="000E4DF7"/>
    <w:rsid w:val="000F3166"/>
    <w:rsid w:val="000F53CC"/>
    <w:rsid w:val="00132C3C"/>
    <w:rsid w:val="00137F6E"/>
    <w:rsid w:val="001419EB"/>
    <w:rsid w:val="00194EB7"/>
    <w:rsid w:val="001C099D"/>
    <w:rsid w:val="001C6A38"/>
    <w:rsid w:val="001F5065"/>
    <w:rsid w:val="001F70F8"/>
    <w:rsid w:val="00200448"/>
    <w:rsid w:val="002124B7"/>
    <w:rsid w:val="0021261B"/>
    <w:rsid w:val="002149A5"/>
    <w:rsid w:val="00241D58"/>
    <w:rsid w:val="00252F7F"/>
    <w:rsid w:val="002539E8"/>
    <w:rsid w:val="00256ADF"/>
    <w:rsid w:val="002749CC"/>
    <w:rsid w:val="00277F8F"/>
    <w:rsid w:val="002A5BDE"/>
    <w:rsid w:val="002C7189"/>
    <w:rsid w:val="002D3F85"/>
    <w:rsid w:val="00321943"/>
    <w:rsid w:val="00326CE4"/>
    <w:rsid w:val="00332E3E"/>
    <w:rsid w:val="00335FB8"/>
    <w:rsid w:val="00341D84"/>
    <w:rsid w:val="003D5122"/>
    <w:rsid w:val="003D6CE0"/>
    <w:rsid w:val="0042556A"/>
    <w:rsid w:val="00426D76"/>
    <w:rsid w:val="00440699"/>
    <w:rsid w:val="00441B76"/>
    <w:rsid w:val="004715F9"/>
    <w:rsid w:val="004750F7"/>
    <w:rsid w:val="004C5669"/>
    <w:rsid w:val="004D66BE"/>
    <w:rsid w:val="004F28BB"/>
    <w:rsid w:val="00517169"/>
    <w:rsid w:val="00527C68"/>
    <w:rsid w:val="00552B26"/>
    <w:rsid w:val="00572BE3"/>
    <w:rsid w:val="005812AE"/>
    <w:rsid w:val="00587656"/>
    <w:rsid w:val="005902FE"/>
    <w:rsid w:val="005A230B"/>
    <w:rsid w:val="005D2EEF"/>
    <w:rsid w:val="005D366F"/>
    <w:rsid w:val="005E51A9"/>
    <w:rsid w:val="006006C0"/>
    <w:rsid w:val="006073EE"/>
    <w:rsid w:val="00610765"/>
    <w:rsid w:val="00613B4B"/>
    <w:rsid w:val="006179EC"/>
    <w:rsid w:val="00627E35"/>
    <w:rsid w:val="0065649E"/>
    <w:rsid w:val="006C3B57"/>
    <w:rsid w:val="006C7582"/>
    <w:rsid w:val="006E4DF6"/>
    <w:rsid w:val="007019A6"/>
    <w:rsid w:val="00705EE6"/>
    <w:rsid w:val="00721CB2"/>
    <w:rsid w:val="00735F1B"/>
    <w:rsid w:val="007858EE"/>
    <w:rsid w:val="007867FE"/>
    <w:rsid w:val="007944E1"/>
    <w:rsid w:val="00796140"/>
    <w:rsid w:val="007B0789"/>
    <w:rsid w:val="007B2CD8"/>
    <w:rsid w:val="007C41FF"/>
    <w:rsid w:val="007D7D66"/>
    <w:rsid w:val="007F1ED5"/>
    <w:rsid w:val="007F4ED6"/>
    <w:rsid w:val="008002DF"/>
    <w:rsid w:val="00806B54"/>
    <w:rsid w:val="00816696"/>
    <w:rsid w:val="008334E0"/>
    <w:rsid w:val="0085110F"/>
    <w:rsid w:val="00860463"/>
    <w:rsid w:val="00862BED"/>
    <w:rsid w:val="008673D0"/>
    <w:rsid w:val="008A5BB3"/>
    <w:rsid w:val="008B35D5"/>
    <w:rsid w:val="008F067E"/>
    <w:rsid w:val="0094564D"/>
    <w:rsid w:val="00985925"/>
    <w:rsid w:val="009D32FF"/>
    <w:rsid w:val="009E2501"/>
    <w:rsid w:val="009F491A"/>
    <w:rsid w:val="00A12296"/>
    <w:rsid w:val="00A26769"/>
    <w:rsid w:val="00A41B2B"/>
    <w:rsid w:val="00A51991"/>
    <w:rsid w:val="00A66BBD"/>
    <w:rsid w:val="00A70F1F"/>
    <w:rsid w:val="00A806CE"/>
    <w:rsid w:val="00A8570E"/>
    <w:rsid w:val="00AB5C4B"/>
    <w:rsid w:val="00AC2AFF"/>
    <w:rsid w:val="00AE2EBD"/>
    <w:rsid w:val="00B20A75"/>
    <w:rsid w:val="00B3768C"/>
    <w:rsid w:val="00B4204B"/>
    <w:rsid w:val="00B44D1C"/>
    <w:rsid w:val="00B935C0"/>
    <w:rsid w:val="00BB2D67"/>
    <w:rsid w:val="00BB6E8C"/>
    <w:rsid w:val="00BC3469"/>
    <w:rsid w:val="00BF77F8"/>
    <w:rsid w:val="00C03B41"/>
    <w:rsid w:val="00C137AF"/>
    <w:rsid w:val="00C230C5"/>
    <w:rsid w:val="00C5149B"/>
    <w:rsid w:val="00C728C8"/>
    <w:rsid w:val="00C866DF"/>
    <w:rsid w:val="00C92ECD"/>
    <w:rsid w:val="00CA1E73"/>
    <w:rsid w:val="00CC67CE"/>
    <w:rsid w:val="00CD1D81"/>
    <w:rsid w:val="00CD2E01"/>
    <w:rsid w:val="00CE352F"/>
    <w:rsid w:val="00CF1F72"/>
    <w:rsid w:val="00CF79C0"/>
    <w:rsid w:val="00D419A8"/>
    <w:rsid w:val="00D6482A"/>
    <w:rsid w:val="00D85315"/>
    <w:rsid w:val="00D94014"/>
    <w:rsid w:val="00D95345"/>
    <w:rsid w:val="00DA7F06"/>
    <w:rsid w:val="00DB4EE4"/>
    <w:rsid w:val="00DF427F"/>
    <w:rsid w:val="00E038A1"/>
    <w:rsid w:val="00E15D7B"/>
    <w:rsid w:val="00E2113B"/>
    <w:rsid w:val="00E5176B"/>
    <w:rsid w:val="00E728E2"/>
    <w:rsid w:val="00E85996"/>
    <w:rsid w:val="00E9472A"/>
    <w:rsid w:val="00EB3E42"/>
    <w:rsid w:val="00ED66B0"/>
    <w:rsid w:val="00F009B3"/>
    <w:rsid w:val="00F177DE"/>
    <w:rsid w:val="00F24A1B"/>
    <w:rsid w:val="00F462FB"/>
    <w:rsid w:val="00FA1F65"/>
    <w:rsid w:val="00FB6C09"/>
    <w:rsid w:val="00FD577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sz w:val="24"/>
      <w:szCs w:val="24"/>
    </w:rPr>
  </w:style>
  <w:style w:type="character" w:default="1" w:styleId="Carpredefinitoparagrafo">
    <w:name w:val="Default Paragraph Font"/>
    <w:semiHidden/>
  </w:style>
  <w:style w:type="table" w:default="1" w:styleId="Tabellanormale">
    <w:name w:val="Normal Table"/>
    <w:semiHidden/>
    <w:tblPr>
      <w:tblInd w:w="0" w:type="dxa"/>
      <w:tblCellMar>
        <w:top w:w="0" w:type="dxa"/>
        <w:left w:w="108" w:type="dxa"/>
        <w:bottom w:w="0" w:type="dxa"/>
        <w:right w:w="108" w:type="dxa"/>
      </w:tblCellMar>
    </w:tblPr>
  </w:style>
  <w:style w:type="numbering" w:default="1" w:styleId="Nessunelenco">
    <w:name w:val="No List"/>
    <w:semiHidden/>
  </w:style>
  <w:style w:type="paragraph" w:styleId="Pidipagina">
    <w:name w:val="footer"/>
    <w:basedOn w:val="Normale"/>
    <w:rsid w:val="00A66BBD"/>
    <w:pPr>
      <w:tabs>
        <w:tab w:val="center" w:pos="4819"/>
        <w:tab w:val="right" w:pos="9638"/>
      </w:tabs>
    </w:pPr>
  </w:style>
  <w:style w:type="character" w:styleId="Numeropagina">
    <w:name w:val="page number"/>
    <w:basedOn w:val="Carpredefinitoparagrafo"/>
    <w:rsid w:val="00A66BBD"/>
  </w:style>
</w:styles>
</file>

<file path=word/webSettings.xml><?xml version="1.0" encoding="utf-8"?>
<w:webSettings xmlns:r="http://schemas.openxmlformats.org/officeDocument/2006/relationships" xmlns:w="http://schemas.openxmlformats.org/wordprocessingml/2006/main">
  <w:divs>
    <w:div w:id="662245425">
      <w:bodyDiv w:val="1"/>
      <w:marLeft w:val="0"/>
      <w:marRight w:val="0"/>
      <w:marTop w:val="0"/>
      <w:marBottom w:val="0"/>
      <w:divBdr>
        <w:top w:val="none" w:sz="0" w:space="0" w:color="auto"/>
        <w:left w:val="none" w:sz="0" w:space="0" w:color="auto"/>
        <w:bottom w:val="none" w:sz="0" w:space="0" w:color="auto"/>
        <w:right w:val="none" w:sz="0" w:space="0" w:color="auto"/>
      </w:divBdr>
      <w:divsChild>
        <w:div w:id="789276240">
          <w:marLeft w:val="0"/>
          <w:marRight w:val="0"/>
          <w:marTop w:val="0"/>
          <w:marBottom w:val="0"/>
          <w:divBdr>
            <w:top w:val="none" w:sz="0" w:space="0" w:color="auto"/>
            <w:left w:val="none" w:sz="0" w:space="0" w:color="auto"/>
            <w:bottom w:val="none" w:sz="0" w:space="0" w:color="auto"/>
            <w:right w:val="none" w:sz="0" w:space="0" w:color="auto"/>
          </w:divBdr>
          <w:divsChild>
            <w:div w:id="814877426">
              <w:marLeft w:val="0"/>
              <w:marRight w:val="0"/>
              <w:marTop w:val="0"/>
              <w:marBottom w:val="0"/>
              <w:divBdr>
                <w:top w:val="none" w:sz="0" w:space="0" w:color="auto"/>
                <w:left w:val="none" w:sz="0" w:space="0" w:color="auto"/>
                <w:bottom w:val="none" w:sz="0" w:space="0" w:color="auto"/>
                <w:right w:val="none" w:sz="0" w:space="0" w:color="auto"/>
              </w:divBdr>
            </w:div>
            <w:div w:id="937325208">
              <w:marLeft w:val="0"/>
              <w:marRight w:val="0"/>
              <w:marTop w:val="0"/>
              <w:marBottom w:val="0"/>
              <w:divBdr>
                <w:top w:val="none" w:sz="0" w:space="0" w:color="auto"/>
                <w:left w:val="none" w:sz="0" w:space="0" w:color="auto"/>
                <w:bottom w:val="none" w:sz="0" w:space="0" w:color="auto"/>
                <w:right w:val="none" w:sz="0" w:space="0" w:color="auto"/>
              </w:divBdr>
            </w:div>
            <w:div w:id="1249846037">
              <w:marLeft w:val="0"/>
              <w:marRight w:val="0"/>
              <w:marTop w:val="0"/>
              <w:marBottom w:val="0"/>
              <w:divBdr>
                <w:top w:val="none" w:sz="0" w:space="0" w:color="auto"/>
                <w:left w:val="none" w:sz="0" w:space="0" w:color="auto"/>
                <w:bottom w:val="none" w:sz="0" w:space="0" w:color="auto"/>
                <w:right w:val="none" w:sz="0" w:space="0" w:color="auto"/>
              </w:divBdr>
            </w:div>
            <w:div w:id="1614748131">
              <w:marLeft w:val="0"/>
              <w:marRight w:val="0"/>
              <w:marTop w:val="0"/>
              <w:marBottom w:val="0"/>
              <w:divBdr>
                <w:top w:val="none" w:sz="0" w:space="0" w:color="auto"/>
                <w:left w:val="none" w:sz="0" w:space="0" w:color="auto"/>
                <w:bottom w:val="none" w:sz="0" w:space="0" w:color="auto"/>
                <w:right w:val="none" w:sz="0" w:space="0" w:color="auto"/>
              </w:divBdr>
            </w:div>
            <w:div w:id="1683119350">
              <w:marLeft w:val="0"/>
              <w:marRight w:val="0"/>
              <w:marTop w:val="0"/>
              <w:marBottom w:val="0"/>
              <w:divBdr>
                <w:top w:val="none" w:sz="0" w:space="0" w:color="auto"/>
                <w:left w:val="none" w:sz="0" w:space="0" w:color="auto"/>
                <w:bottom w:val="none" w:sz="0" w:space="0" w:color="auto"/>
                <w:right w:val="none" w:sz="0" w:space="0" w:color="auto"/>
              </w:divBdr>
            </w:div>
            <w:div w:id="177833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2927</Words>
  <Characters>16689</Characters>
  <Application>Microsoft Office Word</Application>
  <DocSecurity>0</DocSecurity>
  <Lines>139</Lines>
  <Paragraphs>39</Paragraphs>
  <ScaleCrop>false</ScaleCrop>
  <HeadingPairs>
    <vt:vector size="2" baseType="variant">
      <vt:variant>
        <vt:lpstr>Titolo</vt:lpstr>
      </vt:variant>
      <vt:variant>
        <vt:i4>1</vt:i4>
      </vt:variant>
    </vt:vector>
  </HeadingPairs>
  <TitlesOfParts>
    <vt:vector size="1" baseType="lpstr">
      <vt:lpstr>LA NUOVA O</vt:lpstr>
    </vt:vector>
  </TitlesOfParts>
  <Company/>
  <LinksUpToDate>false</LinksUpToDate>
  <CharactersWithSpaces>19577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NUOVA O</dc:title>
  <dc:creator>Cavicchioli</dc:creator>
  <cp:lastModifiedBy>User</cp:lastModifiedBy>
  <cp:revision>2</cp:revision>
  <dcterms:created xsi:type="dcterms:W3CDTF">2014-01-18T13:03:00Z</dcterms:created>
  <dcterms:modified xsi:type="dcterms:W3CDTF">2014-01-18T13:03:00Z</dcterms:modified>
</cp:coreProperties>
</file>