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342DC8" w14:textId="29F26641" w:rsidR="0074189C" w:rsidRPr="0074189C" w:rsidRDefault="0074189C" w:rsidP="0074189C">
      <w:pPr>
        <w:rPr>
          <w:rFonts w:ascii="Times New Roman" w:hAnsi="Times New Roman" w:cs="Times New Roman"/>
          <w:lang w:val="en-US"/>
        </w:rPr>
      </w:pPr>
      <w:r w:rsidRPr="009D28B0">
        <w:rPr>
          <w:b/>
          <w:bCs/>
          <w:lang w:val="en-US"/>
        </w:rPr>
        <w:t xml:space="preserve">Impact of </w:t>
      </w:r>
      <w:r w:rsidRPr="009D28B0">
        <w:rPr>
          <w:b/>
          <w:bCs/>
          <w:i/>
          <w:iCs/>
          <w:lang w:val="en-US"/>
        </w:rPr>
        <w:t xml:space="preserve">wfs1b </w:t>
      </w:r>
      <w:r w:rsidRPr="009D28B0">
        <w:rPr>
          <w:b/>
          <w:bCs/>
          <w:lang w:val="en-US"/>
        </w:rPr>
        <w:t>downregulation on GnRH3 neurons development in the zebrafish model</w:t>
      </w:r>
    </w:p>
    <w:p w14:paraId="782120C0" w14:textId="77777777" w:rsidR="0074189C" w:rsidRPr="0074189C" w:rsidRDefault="0074189C" w:rsidP="0074189C">
      <w:pPr>
        <w:rPr>
          <w:rFonts w:ascii="Times New Roman" w:hAnsi="Times New Roman" w:cs="Times New Roman"/>
          <w:lang w:val="en-US"/>
        </w:rPr>
      </w:pPr>
    </w:p>
    <w:p w14:paraId="60E4586C" w14:textId="6E161518" w:rsidR="0074189C" w:rsidRPr="009F4322" w:rsidRDefault="0074189C" w:rsidP="0074189C">
      <w:pPr>
        <w:rPr>
          <w:rFonts w:ascii="Times New Roman" w:hAnsi="Times New Roman" w:cs="Times New Roman"/>
        </w:rPr>
      </w:pPr>
      <w:r w:rsidRPr="009F4322">
        <w:rPr>
          <w:rFonts w:ascii="Times New Roman" w:hAnsi="Times New Roman" w:cs="Times New Roman"/>
        </w:rPr>
        <w:t>L'ipogonadismo ipogonadotropo congenito (CHH) è un raro disturbo riproduttivo caratterizzato da una carenza o da un difetto d'azione dell'ormone di rilascio delle gonadotropine, con conseguente pubertà ritardata o arrestata. Il CHH presenta una complessa eterogeneità genetica e fenotipica e, in circa il 50% dei pazienti, l'eziologia rimane idiopatica, suggerendo che vi siano ancora geni regolatori da identificare.</w:t>
      </w:r>
    </w:p>
    <w:p w14:paraId="3321056C" w14:textId="77777777" w:rsidR="0074189C" w:rsidRPr="009F4322" w:rsidRDefault="0074189C" w:rsidP="0074189C">
      <w:pPr>
        <w:rPr>
          <w:rFonts w:ascii="Times New Roman" w:hAnsi="Times New Roman" w:cs="Times New Roman"/>
        </w:rPr>
      </w:pPr>
      <w:r w:rsidRPr="009F4322">
        <w:rPr>
          <w:rFonts w:ascii="Times New Roman" w:hAnsi="Times New Roman" w:cs="Times New Roman"/>
        </w:rPr>
        <w:t xml:space="preserve">Nella nostra coorte di pazienti con CHH, abbiamo recentemente identificato due varianti </w:t>
      </w:r>
      <w:proofErr w:type="spellStart"/>
      <w:r w:rsidRPr="009F4322">
        <w:rPr>
          <w:rFonts w:ascii="Times New Roman" w:hAnsi="Times New Roman" w:cs="Times New Roman"/>
        </w:rPr>
        <w:t>missenso</w:t>
      </w:r>
      <w:proofErr w:type="spellEnd"/>
      <w:r w:rsidRPr="009F4322">
        <w:rPr>
          <w:rFonts w:ascii="Times New Roman" w:hAnsi="Times New Roman" w:cs="Times New Roman"/>
        </w:rPr>
        <w:t xml:space="preserve"> in eterozigosi nel gene </w:t>
      </w:r>
      <w:r w:rsidRPr="009F4322">
        <w:rPr>
          <w:rFonts w:ascii="Times New Roman" w:hAnsi="Times New Roman" w:cs="Times New Roman"/>
          <w:i/>
          <w:iCs/>
        </w:rPr>
        <w:t>WFS1</w:t>
      </w:r>
      <w:r w:rsidRPr="009F4322">
        <w:rPr>
          <w:rFonts w:ascii="Times New Roman" w:hAnsi="Times New Roman" w:cs="Times New Roman"/>
        </w:rPr>
        <w:t xml:space="preserve">, che codifica per </w:t>
      </w:r>
      <w:proofErr w:type="spellStart"/>
      <w:r>
        <w:rPr>
          <w:rFonts w:ascii="Times New Roman" w:hAnsi="Times New Roman" w:cs="Times New Roman"/>
        </w:rPr>
        <w:t>w</w:t>
      </w:r>
      <w:r w:rsidRPr="009F4322">
        <w:rPr>
          <w:rFonts w:ascii="Times New Roman" w:hAnsi="Times New Roman" w:cs="Times New Roman"/>
        </w:rPr>
        <w:t>olframina</w:t>
      </w:r>
      <w:proofErr w:type="spellEnd"/>
      <w:r w:rsidRPr="009F4322">
        <w:rPr>
          <w:rFonts w:ascii="Times New Roman" w:hAnsi="Times New Roman" w:cs="Times New Roman"/>
        </w:rPr>
        <w:t>, una proteina ubiquitaria coinvolta nel folding delle proteine mal ripiegate (UPR), nella regolazione dell'omeostasi del calcio cellulare e nello stress del reticolo endoplasmatico. Mutazioni in omozigosi di </w:t>
      </w:r>
      <w:r w:rsidRPr="009F4322">
        <w:rPr>
          <w:rFonts w:ascii="Times New Roman" w:hAnsi="Times New Roman" w:cs="Times New Roman"/>
          <w:i/>
          <w:iCs/>
        </w:rPr>
        <w:t>WFS1</w:t>
      </w:r>
      <w:r w:rsidRPr="009F4322">
        <w:rPr>
          <w:rFonts w:ascii="Times New Roman" w:hAnsi="Times New Roman" w:cs="Times New Roman"/>
        </w:rPr>
        <w:t xml:space="preserve"> sono responsabili della "Sindrome di Wolfram", un disturbo </w:t>
      </w:r>
      <w:proofErr w:type="spellStart"/>
      <w:r w:rsidRPr="009F4322">
        <w:rPr>
          <w:rFonts w:ascii="Times New Roman" w:hAnsi="Times New Roman" w:cs="Times New Roman"/>
        </w:rPr>
        <w:t>multisistemico</w:t>
      </w:r>
      <w:proofErr w:type="spellEnd"/>
      <w:r w:rsidRPr="009F4322">
        <w:rPr>
          <w:rFonts w:ascii="Times New Roman" w:hAnsi="Times New Roman" w:cs="Times New Roman"/>
        </w:rPr>
        <w:t xml:space="preserve"> caratterizzato da disfunzioni visive, perdita dell'udito, anosmia, diabete mellito o insipido, disturbi psichiatrici e fertilità ridotta.</w:t>
      </w:r>
    </w:p>
    <w:p w14:paraId="14D9C014" w14:textId="77777777" w:rsidR="0074189C" w:rsidRPr="009F4322" w:rsidRDefault="0074189C" w:rsidP="0074189C">
      <w:pPr>
        <w:rPr>
          <w:rFonts w:ascii="Times New Roman" w:hAnsi="Times New Roman" w:cs="Times New Roman"/>
        </w:rPr>
      </w:pPr>
      <w:r w:rsidRPr="009F4322">
        <w:rPr>
          <w:rFonts w:ascii="Times New Roman" w:hAnsi="Times New Roman" w:cs="Times New Roman"/>
        </w:rPr>
        <w:t>L'identificazione di varianti genetiche nel gene </w:t>
      </w:r>
      <w:r w:rsidRPr="009F4322">
        <w:rPr>
          <w:rFonts w:ascii="Times New Roman" w:hAnsi="Times New Roman" w:cs="Times New Roman"/>
          <w:i/>
          <w:iCs/>
        </w:rPr>
        <w:t>WFS1</w:t>
      </w:r>
      <w:r w:rsidRPr="009F4322">
        <w:rPr>
          <w:rFonts w:ascii="Times New Roman" w:hAnsi="Times New Roman" w:cs="Times New Roman"/>
        </w:rPr>
        <w:t xml:space="preserve"> in pazienti con CHH suggerisce un possibile coinvolgimento della </w:t>
      </w:r>
      <w:proofErr w:type="spellStart"/>
      <w:r>
        <w:rPr>
          <w:rFonts w:ascii="Times New Roman" w:hAnsi="Times New Roman" w:cs="Times New Roman"/>
        </w:rPr>
        <w:t>w</w:t>
      </w:r>
      <w:r w:rsidRPr="009F4322">
        <w:rPr>
          <w:rFonts w:ascii="Times New Roman" w:hAnsi="Times New Roman" w:cs="Times New Roman"/>
        </w:rPr>
        <w:t>olframina</w:t>
      </w:r>
      <w:proofErr w:type="spellEnd"/>
      <w:r w:rsidRPr="009F4322">
        <w:rPr>
          <w:rFonts w:ascii="Times New Roman" w:hAnsi="Times New Roman" w:cs="Times New Roman"/>
        </w:rPr>
        <w:t xml:space="preserve"> nei vari processi che regolano lo sviluppo e la funzione dell’asse ipotalamo-ipofisi-gonadi (HPG). In questo lavoro, abbiamo utilizzato il modello in vivo zebrafish per studiare l’impatto di </w:t>
      </w:r>
      <w:r w:rsidRPr="009F4322">
        <w:rPr>
          <w:rFonts w:ascii="Times New Roman" w:hAnsi="Times New Roman" w:cs="Times New Roman"/>
          <w:i/>
          <w:iCs/>
        </w:rPr>
        <w:t>wfs1b</w:t>
      </w:r>
      <w:r w:rsidRPr="009F4322">
        <w:rPr>
          <w:rFonts w:ascii="Times New Roman" w:hAnsi="Times New Roman" w:cs="Times New Roman"/>
        </w:rPr>
        <w:t> (</w:t>
      </w:r>
      <w:proofErr w:type="spellStart"/>
      <w:r w:rsidRPr="009F4322">
        <w:rPr>
          <w:rFonts w:ascii="Times New Roman" w:hAnsi="Times New Roman" w:cs="Times New Roman"/>
        </w:rPr>
        <w:t>ortologo</w:t>
      </w:r>
      <w:proofErr w:type="spellEnd"/>
      <w:r w:rsidRPr="009F4322">
        <w:rPr>
          <w:rFonts w:ascii="Times New Roman" w:hAnsi="Times New Roman" w:cs="Times New Roman"/>
        </w:rPr>
        <w:t xml:space="preserve"> dell’umano </w:t>
      </w:r>
      <w:r w:rsidRPr="009F4322">
        <w:rPr>
          <w:rFonts w:ascii="Times New Roman" w:hAnsi="Times New Roman" w:cs="Times New Roman"/>
          <w:i/>
          <w:iCs/>
        </w:rPr>
        <w:t>WFS1</w:t>
      </w:r>
      <w:r w:rsidRPr="009F4322">
        <w:rPr>
          <w:rFonts w:ascii="Times New Roman" w:hAnsi="Times New Roman" w:cs="Times New Roman"/>
        </w:rPr>
        <w:t>) sulla differenziazione e migrazione dei neuroni GnRH. Esperimenti in vitro sono stati condotti per verificare l'impatto delle due varianti alleliche, identificate tramite sequenziamento dell’</w:t>
      </w:r>
      <w:proofErr w:type="spellStart"/>
      <w:r w:rsidRPr="009F4322">
        <w:rPr>
          <w:rFonts w:ascii="Times New Roman" w:hAnsi="Times New Roman" w:cs="Times New Roman"/>
        </w:rPr>
        <w:t>esoma</w:t>
      </w:r>
      <w:proofErr w:type="spellEnd"/>
      <w:r w:rsidRPr="009F4322">
        <w:rPr>
          <w:rFonts w:ascii="Times New Roman" w:hAnsi="Times New Roman" w:cs="Times New Roman"/>
        </w:rPr>
        <w:t>, sulla localizzazione subcellulare e sull'espressione della proteina WFS1. Le nostre analisi hanno rivelato che le proteine mutate presentano una minore espressione nel reticolo endoplasmatico e tendono a formare aggregati.</w:t>
      </w:r>
    </w:p>
    <w:p w14:paraId="00AA6974" w14:textId="77777777" w:rsidR="0074189C" w:rsidRPr="009F4322" w:rsidRDefault="0074189C" w:rsidP="0074189C">
      <w:pPr>
        <w:rPr>
          <w:rFonts w:ascii="Times New Roman" w:hAnsi="Times New Roman" w:cs="Times New Roman"/>
        </w:rPr>
      </w:pPr>
      <w:r w:rsidRPr="009F4322">
        <w:rPr>
          <w:rFonts w:ascii="Times New Roman" w:hAnsi="Times New Roman" w:cs="Times New Roman"/>
        </w:rPr>
        <w:t>Nel modello zebrafish, abbiamo generato un knockdown di </w:t>
      </w:r>
      <w:r w:rsidRPr="009F4322">
        <w:rPr>
          <w:rFonts w:ascii="Times New Roman" w:hAnsi="Times New Roman" w:cs="Times New Roman"/>
          <w:i/>
          <w:iCs/>
        </w:rPr>
        <w:t>wfs1b</w:t>
      </w:r>
      <w:r w:rsidRPr="009F4322">
        <w:rPr>
          <w:rFonts w:ascii="Times New Roman" w:hAnsi="Times New Roman" w:cs="Times New Roman"/>
        </w:rPr>
        <w:t xml:space="preserve"> nella linea </w:t>
      </w:r>
      <w:r>
        <w:rPr>
          <w:rFonts w:ascii="Times New Roman" w:hAnsi="Times New Roman" w:cs="Times New Roman"/>
        </w:rPr>
        <w:t xml:space="preserve">transgenica </w:t>
      </w:r>
      <w:r w:rsidRPr="009F4322">
        <w:rPr>
          <w:rFonts w:ascii="Times New Roman" w:hAnsi="Times New Roman" w:cs="Times New Roman"/>
        </w:rPr>
        <w:t>reporter </w:t>
      </w:r>
      <w:r w:rsidRPr="009F4322">
        <w:rPr>
          <w:rFonts w:ascii="Times New Roman" w:hAnsi="Times New Roman" w:cs="Times New Roman"/>
          <w:i/>
          <w:iCs/>
        </w:rPr>
        <w:t>(GnRH</w:t>
      </w:r>
      <w:proofErr w:type="gramStart"/>
      <w:r w:rsidRPr="009F4322">
        <w:rPr>
          <w:rFonts w:ascii="Times New Roman" w:hAnsi="Times New Roman" w:cs="Times New Roman"/>
          <w:i/>
          <w:iCs/>
        </w:rPr>
        <w:t>3:EGFP</w:t>
      </w:r>
      <w:proofErr w:type="gramEnd"/>
      <w:r w:rsidRPr="009F4322">
        <w:rPr>
          <w:rFonts w:ascii="Times New Roman" w:hAnsi="Times New Roman" w:cs="Times New Roman"/>
          <w:i/>
          <w:iCs/>
        </w:rPr>
        <w:t>)</w:t>
      </w:r>
      <w:r w:rsidRPr="009F4322">
        <w:rPr>
          <w:rFonts w:ascii="Times New Roman" w:hAnsi="Times New Roman" w:cs="Times New Roman"/>
        </w:rPr>
        <w:t> per valutare il ruolo di </w:t>
      </w:r>
      <w:r w:rsidRPr="009F4322">
        <w:rPr>
          <w:rFonts w:ascii="Times New Roman" w:hAnsi="Times New Roman" w:cs="Times New Roman"/>
          <w:i/>
          <w:iCs/>
        </w:rPr>
        <w:t>wfs1b</w:t>
      </w:r>
      <w:r w:rsidRPr="009F4322">
        <w:rPr>
          <w:rFonts w:ascii="Times New Roman" w:hAnsi="Times New Roman" w:cs="Times New Roman"/>
        </w:rPr>
        <w:t xml:space="preserve"> nello sviluppo dei neuroni GnRH3. Tutti gli embrioni </w:t>
      </w:r>
      <w:r w:rsidRPr="009F4322">
        <w:rPr>
          <w:rFonts w:ascii="Times New Roman" w:hAnsi="Times New Roman" w:cs="Times New Roman"/>
          <w:i/>
          <w:iCs/>
        </w:rPr>
        <w:t>wfs1b</w:t>
      </w:r>
      <w:r w:rsidRPr="009F4322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4322">
        <w:rPr>
          <w:rFonts w:ascii="Times New Roman" w:hAnsi="Times New Roman" w:cs="Times New Roman"/>
        </w:rPr>
        <w:t>morfanti</w:t>
      </w:r>
      <w:proofErr w:type="spellEnd"/>
      <w:r w:rsidRPr="009F4322">
        <w:rPr>
          <w:rFonts w:ascii="Times New Roman" w:hAnsi="Times New Roman" w:cs="Times New Roman"/>
        </w:rPr>
        <w:t>  (</w:t>
      </w:r>
      <w:proofErr w:type="gramEnd"/>
      <w:r w:rsidRPr="009F4322">
        <w:rPr>
          <w:rFonts w:ascii="Times New Roman" w:hAnsi="Times New Roman" w:cs="Times New Roman"/>
          <w:i/>
          <w:iCs/>
        </w:rPr>
        <w:t>wfs1bMOs</w:t>
      </w:r>
      <w:r w:rsidRPr="009F4322">
        <w:rPr>
          <w:rFonts w:ascii="Times New Roman" w:hAnsi="Times New Roman" w:cs="Times New Roman"/>
        </w:rPr>
        <w:t xml:space="preserve">) hanno mostrato una disorganizzazione globale dell'architettura neuronale </w:t>
      </w:r>
      <w:r>
        <w:rPr>
          <w:rFonts w:ascii="Times New Roman" w:hAnsi="Times New Roman" w:cs="Times New Roman"/>
        </w:rPr>
        <w:t xml:space="preserve">nei </w:t>
      </w:r>
      <w:r w:rsidRPr="009F4322">
        <w:rPr>
          <w:rFonts w:ascii="Times New Roman" w:hAnsi="Times New Roman" w:cs="Times New Roman"/>
        </w:rPr>
        <w:t xml:space="preserve">GnRH3, con una localizzazione anomala di questi neuroni a livello dei bulbi olfattori e della </w:t>
      </w:r>
      <w:proofErr w:type="spellStart"/>
      <w:r w:rsidRPr="009F4322">
        <w:rPr>
          <w:rFonts w:ascii="Times New Roman" w:hAnsi="Times New Roman" w:cs="Times New Roman"/>
        </w:rPr>
        <w:t>commissura</w:t>
      </w:r>
      <w:proofErr w:type="spellEnd"/>
      <w:r w:rsidRPr="009F4322">
        <w:rPr>
          <w:rFonts w:ascii="Times New Roman" w:hAnsi="Times New Roman" w:cs="Times New Roman"/>
        </w:rPr>
        <w:t xml:space="preserve"> anteriore. Per valutare il potenziale contributo di </w:t>
      </w:r>
      <w:r w:rsidRPr="009F4322">
        <w:rPr>
          <w:rFonts w:ascii="Times New Roman" w:hAnsi="Times New Roman" w:cs="Times New Roman"/>
          <w:i/>
          <w:iCs/>
        </w:rPr>
        <w:t>wfs1b</w:t>
      </w:r>
      <w:r w:rsidRPr="009F4322">
        <w:rPr>
          <w:rFonts w:ascii="Times New Roman" w:hAnsi="Times New Roman" w:cs="Times New Roman"/>
        </w:rPr>
        <w:t> durante la neurogenesi dei neuroni GnRH3, abbiamo analizzato, tramite tecnica di ibridazione in situ, i marker dei progenitori neuronali che esprimono il fattore di trascrizione </w:t>
      </w:r>
      <w:r w:rsidRPr="009F4322">
        <w:rPr>
          <w:rFonts w:ascii="Times New Roman" w:hAnsi="Times New Roman" w:cs="Times New Roman"/>
          <w:i/>
          <w:iCs/>
        </w:rPr>
        <w:t>pax6</w:t>
      </w:r>
      <w:r w:rsidRPr="009F4322">
        <w:rPr>
          <w:rFonts w:ascii="Times New Roman" w:hAnsi="Times New Roman" w:cs="Times New Roman"/>
        </w:rPr>
        <w:t> e i precursori neuronali intermedi caratterizzati dall'espressione di </w:t>
      </w:r>
      <w:r w:rsidRPr="009F4322">
        <w:rPr>
          <w:rFonts w:ascii="Times New Roman" w:hAnsi="Times New Roman" w:cs="Times New Roman"/>
          <w:i/>
          <w:iCs/>
        </w:rPr>
        <w:t>ngn1</w:t>
      </w:r>
      <w:r w:rsidRPr="009F4322">
        <w:rPr>
          <w:rFonts w:ascii="Times New Roman" w:hAnsi="Times New Roman" w:cs="Times New Roman"/>
        </w:rPr>
        <w:t> e </w:t>
      </w:r>
      <w:r w:rsidRPr="009F4322">
        <w:rPr>
          <w:rFonts w:ascii="Times New Roman" w:hAnsi="Times New Roman" w:cs="Times New Roman"/>
          <w:i/>
          <w:iCs/>
        </w:rPr>
        <w:t>isl1a</w:t>
      </w:r>
      <w:r w:rsidRPr="009F4322">
        <w:rPr>
          <w:rFonts w:ascii="Times New Roman" w:hAnsi="Times New Roman" w:cs="Times New Roman"/>
        </w:rPr>
        <w:t>. L’espressione di </w:t>
      </w:r>
      <w:r w:rsidRPr="009F4322">
        <w:rPr>
          <w:rFonts w:ascii="Times New Roman" w:hAnsi="Times New Roman" w:cs="Times New Roman"/>
          <w:i/>
          <w:iCs/>
        </w:rPr>
        <w:t>pax6</w:t>
      </w:r>
      <w:r w:rsidRPr="009F4322">
        <w:rPr>
          <w:rFonts w:ascii="Times New Roman" w:hAnsi="Times New Roman" w:cs="Times New Roman"/>
        </w:rPr>
        <w:t> e </w:t>
      </w:r>
      <w:r w:rsidRPr="009F4322">
        <w:rPr>
          <w:rFonts w:ascii="Times New Roman" w:hAnsi="Times New Roman" w:cs="Times New Roman"/>
          <w:i/>
          <w:iCs/>
        </w:rPr>
        <w:t>ngn1</w:t>
      </w:r>
      <w:r w:rsidRPr="009F4322">
        <w:rPr>
          <w:rFonts w:ascii="Times New Roman" w:hAnsi="Times New Roman" w:cs="Times New Roman"/>
        </w:rPr>
        <w:t> è risultata preservata nei </w:t>
      </w:r>
      <w:r w:rsidRPr="009F4322">
        <w:rPr>
          <w:rFonts w:ascii="Times New Roman" w:hAnsi="Times New Roman" w:cs="Times New Roman"/>
          <w:i/>
          <w:iCs/>
        </w:rPr>
        <w:t>wfs1bMOs</w:t>
      </w:r>
      <w:r w:rsidRPr="009F4322">
        <w:rPr>
          <w:rFonts w:ascii="Times New Roman" w:hAnsi="Times New Roman" w:cs="Times New Roman"/>
        </w:rPr>
        <w:t xml:space="preserve">, mentre, gli embrioni </w:t>
      </w:r>
      <w:proofErr w:type="spellStart"/>
      <w:r w:rsidRPr="009F4322">
        <w:rPr>
          <w:rFonts w:ascii="Times New Roman" w:hAnsi="Times New Roman" w:cs="Times New Roman"/>
        </w:rPr>
        <w:t>morfanti</w:t>
      </w:r>
      <w:proofErr w:type="spellEnd"/>
      <w:r w:rsidRPr="009F4322">
        <w:rPr>
          <w:rFonts w:ascii="Times New Roman" w:hAnsi="Times New Roman" w:cs="Times New Roman"/>
        </w:rPr>
        <w:t xml:space="preserve"> hanno mostrato differenze nell'espressione di </w:t>
      </w:r>
      <w:r w:rsidRPr="009F4322">
        <w:rPr>
          <w:rFonts w:ascii="Times New Roman" w:hAnsi="Times New Roman" w:cs="Times New Roman"/>
          <w:i/>
          <w:iCs/>
        </w:rPr>
        <w:t>isl1a</w:t>
      </w:r>
      <w:r w:rsidRPr="009F4322">
        <w:rPr>
          <w:rFonts w:ascii="Times New Roman" w:hAnsi="Times New Roman" w:cs="Times New Roman"/>
        </w:rPr>
        <w:t>, suggerendo che la sua ridotta espressione possa contribuire ai difetti di migrazione dei neuroni GnRH3.</w:t>
      </w:r>
    </w:p>
    <w:p w14:paraId="249C44BC" w14:textId="77777777" w:rsidR="0074189C" w:rsidRPr="009F4322" w:rsidRDefault="0074189C" w:rsidP="0074189C">
      <w:pPr>
        <w:rPr>
          <w:rFonts w:ascii="Times New Roman" w:hAnsi="Times New Roman" w:cs="Times New Roman"/>
        </w:rPr>
      </w:pPr>
      <w:r w:rsidRPr="009F4322">
        <w:rPr>
          <w:rFonts w:ascii="Times New Roman" w:hAnsi="Times New Roman" w:cs="Times New Roman"/>
        </w:rPr>
        <w:t>Dato il coinvolgimento di </w:t>
      </w:r>
      <w:r w:rsidRPr="009F4322">
        <w:rPr>
          <w:rFonts w:ascii="Times New Roman" w:hAnsi="Times New Roman" w:cs="Times New Roman"/>
          <w:i/>
          <w:iCs/>
        </w:rPr>
        <w:t>WFS1</w:t>
      </w:r>
      <w:r w:rsidRPr="009F4322">
        <w:rPr>
          <w:rFonts w:ascii="Times New Roman" w:hAnsi="Times New Roman" w:cs="Times New Roman"/>
        </w:rPr>
        <w:t> nei meccanismi d</w:t>
      </w:r>
      <w:r>
        <w:rPr>
          <w:rFonts w:ascii="Times New Roman" w:hAnsi="Times New Roman" w:cs="Times New Roman"/>
        </w:rPr>
        <w:t>i</w:t>
      </w:r>
      <w:r w:rsidRPr="009F4322">
        <w:rPr>
          <w:rFonts w:ascii="Times New Roman" w:hAnsi="Times New Roman" w:cs="Times New Roman"/>
        </w:rPr>
        <w:t xml:space="preserve"> risposta nel folding delle proteine mal ripiegate, abbiamo inoltre condotto esperimenti di RT-</w:t>
      </w:r>
      <w:proofErr w:type="spellStart"/>
      <w:r w:rsidRPr="009F4322">
        <w:rPr>
          <w:rFonts w:ascii="Times New Roman" w:hAnsi="Times New Roman" w:cs="Times New Roman"/>
        </w:rPr>
        <w:t>qPCR</w:t>
      </w:r>
      <w:proofErr w:type="spellEnd"/>
      <w:r w:rsidRPr="009F4322">
        <w:rPr>
          <w:rFonts w:ascii="Times New Roman" w:hAnsi="Times New Roman" w:cs="Times New Roman"/>
        </w:rPr>
        <w:t xml:space="preserve"> su embrioni a 48 ore post fertilizzazione per analizzare l'espressione dei geni coinvolti nelle vie dell’UPR. Le nostre analisi hanno rivelato un aumento significativo dei livelli di </w:t>
      </w:r>
      <w:r w:rsidRPr="009F4322">
        <w:rPr>
          <w:rFonts w:ascii="Times New Roman" w:hAnsi="Times New Roman" w:cs="Times New Roman"/>
          <w:i/>
          <w:iCs/>
        </w:rPr>
        <w:t>bip</w:t>
      </w:r>
      <w:r w:rsidRPr="009F4322">
        <w:rPr>
          <w:rFonts w:ascii="Times New Roman" w:hAnsi="Times New Roman" w:cs="Times New Roman"/>
        </w:rPr>
        <w:t>, </w:t>
      </w:r>
      <w:r w:rsidRPr="009F4322">
        <w:rPr>
          <w:rFonts w:ascii="Times New Roman" w:hAnsi="Times New Roman" w:cs="Times New Roman"/>
          <w:i/>
          <w:iCs/>
        </w:rPr>
        <w:t>atf6</w:t>
      </w:r>
      <w:r w:rsidRPr="009F4322">
        <w:rPr>
          <w:rFonts w:ascii="Times New Roman" w:hAnsi="Times New Roman" w:cs="Times New Roman"/>
        </w:rPr>
        <w:t>, </w:t>
      </w:r>
      <w:proofErr w:type="spellStart"/>
      <w:r w:rsidRPr="009F4322">
        <w:rPr>
          <w:rFonts w:ascii="Times New Roman" w:hAnsi="Times New Roman" w:cs="Times New Roman"/>
          <w:i/>
          <w:iCs/>
        </w:rPr>
        <w:t>chop</w:t>
      </w:r>
      <w:proofErr w:type="spellEnd"/>
      <w:r w:rsidRPr="009F4322">
        <w:rPr>
          <w:rFonts w:ascii="Times New Roman" w:hAnsi="Times New Roman" w:cs="Times New Roman"/>
        </w:rPr>
        <w:t> e </w:t>
      </w:r>
      <w:r w:rsidRPr="009F4322">
        <w:rPr>
          <w:rFonts w:ascii="Times New Roman" w:hAnsi="Times New Roman" w:cs="Times New Roman"/>
          <w:i/>
          <w:iCs/>
        </w:rPr>
        <w:t>xbp1</w:t>
      </w:r>
      <w:r w:rsidRPr="009F4322">
        <w:rPr>
          <w:rFonts w:ascii="Times New Roman" w:hAnsi="Times New Roman" w:cs="Times New Roman"/>
        </w:rPr>
        <w:t> nei </w:t>
      </w:r>
      <w:r w:rsidRPr="009F4322">
        <w:rPr>
          <w:rFonts w:ascii="Times New Roman" w:hAnsi="Times New Roman" w:cs="Times New Roman"/>
          <w:i/>
          <w:iCs/>
        </w:rPr>
        <w:t>wfs1bMOs</w:t>
      </w:r>
      <w:r w:rsidRPr="009F432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9F4322">
        <w:rPr>
          <w:rFonts w:ascii="Times New Roman" w:hAnsi="Times New Roman" w:cs="Times New Roman"/>
        </w:rPr>
        <w:t>I nostri risultati suggeriscono che il knockdown di </w:t>
      </w:r>
      <w:r w:rsidRPr="009F4322">
        <w:rPr>
          <w:rFonts w:ascii="Times New Roman" w:hAnsi="Times New Roman" w:cs="Times New Roman"/>
          <w:i/>
          <w:iCs/>
        </w:rPr>
        <w:t>wfs1b</w:t>
      </w:r>
      <w:r w:rsidRPr="009F4322">
        <w:rPr>
          <w:rFonts w:ascii="Times New Roman" w:hAnsi="Times New Roman" w:cs="Times New Roman"/>
        </w:rPr>
        <w:t> attivi la via dell’UPR, influenzando probabilmente i neuroni positivi per </w:t>
      </w:r>
      <w:r w:rsidRPr="009F4322">
        <w:rPr>
          <w:rFonts w:ascii="Times New Roman" w:hAnsi="Times New Roman" w:cs="Times New Roman"/>
          <w:i/>
          <w:iCs/>
        </w:rPr>
        <w:t>isl1a</w:t>
      </w:r>
      <w:r w:rsidRPr="009F4322">
        <w:rPr>
          <w:rFonts w:ascii="Times New Roman" w:hAnsi="Times New Roman" w:cs="Times New Roman"/>
        </w:rPr>
        <w:t>, coinvolti nello sviluppo della rete neuronale dei neuroni GnRH3.</w:t>
      </w:r>
    </w:p>
    <w:p w14:paraId="1A059F9D" w14:textId="77777777" w:rsidR="0074189C" w:rsidRDefault="0074189C" w:rsidP="0074189C"/>
    <w:p w14:paraId="3718CE93" w14:textId="77777777" w:rsidR="001909D4" w:rsidRDefault="001909D4"/>
    <w:sectPr w:rsidR="001909D4" w:rsidSect="000E765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89C"/>
    <w:rsid w:val="000E7651"/>
    <w:rsid w:val="001909D4"/>
    <w:rsid w:val="00346493"/>
    <w:rsid w:val="0074189C"/>
    <w:rsid w:val="008E2877"/>
    <w:rsid w:val="00AD1010"/>
    <w:rsid w:val="00C8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9FDFAAE"/>
  <w14:defaultImageDpi w14:val="32767"/>
  <w15:chartTrackingRefBased/>
  <w15:docId w15:val="{DAB87B09-D559-3B43-9BB1-A11C055B5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74189C"/>
  </w:style>
  <w:style w:type="paragraph" w:styleId="Titolo1">
    <w:name w:val="heading 1"/>
    <w:basedOn w:val="Normale"/>
    <w:next w:val="Normale"/>
    <w:link w:val="Titolo1Carattere"/>
    <w:uiPriority w:val="9"/>
    <w:qFormat/>
    <w:rsid w:val="007418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418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418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418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418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4189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4189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4189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4189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418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418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418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4189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4189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4189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4189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4189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4189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4189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418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4189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418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4189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4189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4189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4189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418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4189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418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508</Words>
  <Characters>2902</Characters>
  <Application>Microsoft Office Word</Application>
  <DocSecurity>0</DocSecurity>
  <Lines>24</Lines>
  <Paragraphs>6</Paragraphs>
  <ScaleCrop>false</ScaleCrop>
  <Company/>
  <LinksUpToDate>false</LinksUpToDate>
  <CharactersWithSpaces>3404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Ilaria Gentile</dc:creator>
  <cp:keywords/>
  <dc:description/>
  <cp:lastModifiedBy>Ilaria Gentile</cp:lastModifiedBy>
  <cp:revision>1</cp:revision>
  <dcterms:created xsi:type="dcterms:W3CDTF">2025-06-19T12:42:00Z</dcterms:created>
  <dcterms:modified xsi:type="dcterms:W3CDTF">2025-06-19T12:42:00Z</dcterms:modified>
</cp:coreProperties>
</file>