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A46B9" w:rsidR="00655159" w:rsidP="00F927EE" w:rsidRDefault="00B23590" w14:paraId="3F69FDFD" w14:textId="61793074">
      <w:pPr>
        <w:spacing w:after="240" w:line="240" w:lineRule="auto"/>
        <w:jc w:val="center"/>
        <w:rPr>
          <w:rFonts w:ascii="Merriweather" w:hAnsi="Merriweather" w:eastAsia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BE0720">
        <w:rPr>
          <w:rFonts w:ascii="Merriweather" w:hAnsi="Merriweather" w:eastAsia="Times New Roman" w:cs="Times New Roman"/>
          <w:b/>
          <w:bCs/>
          <w:color w:val="000000"/>
          <w:kern w:val="0"/>
          <w:sz w:val="24"/>
          <w:szCs w:val="24"/>
          <w:lang w:val="en-GB" w:eastAsia="nl-NL"/>
          <w14:ligatures w14:val="none"/>
        </w:rPr>
        <w:t xml:space="preserve">The </w:t>
      </w:r>
      <w:proofErr w:type="spellStart"/>
      <w:r w:rsidRPr="00BE0720">
        <w:rPr>
          <w:rFonts w:ascii="Merriweather" w:hAnsi="Merriweather" w:eastAsia="Times New Roman" w:cs="Times New Roman"/>
          <w:b/>
          <w:bCs/>
          <w:color w:val="000000"/>
          <w:kern w:val="0"/>
          <w:sz w:val="24"/>
          <w:szCs w:val="24"/>
          <w:lang w:val="en-GB" w:eastAsia="nl-NL"/>
          <w14:ligatures w14:val="none"/>
        </w:rPr>
        <w:t>Palaeo</w:t>
      </w:r>
      <w:proofErr w:type="spellEnd"/>
      <w:r w:rsidRPr="00BE0720">
        <w:rPr>
          <w:rFonts w:ascii="Merriweather" w:hAnsi="Merriweather" w:eastAsia="Times New Roman" w:cs="Times New Roman"/>
          <w:b/>
          <w:bCs/>
          <w:color w:val="000000"/>
          <w:kern w:val="0"/>
          <w:sz w:val="24"/>
          <w:szCs w:val="24"/>
          <w:lang w:val="en-GB" w:eastAsia="nl-NL"/>
          <w14:ligatures w14:val="none"/>
        </w:rPr>
        <w:t>-Adriatic Basin during the Mid-Piacenzian Warm Period: Clumped isotope</w:t>
      </w:r>
      <w:r w:rsidR="00C20126">
        <w:rPr>
          <w:rFonts w:ascii="Merriweather" w:hAnsi="Merriweather" w:eastAsia="Times New Roman" w:cs="Times New Roman"/>
          <w:b/>
          <w:bCs/>
          <w:color w:val="000000"/>
          <w:kern w:val="0"/>
          <w:sz w:val="24"/>
          <w:szCs w:val="24"/>
          <w:lang w:val="en-GB" w:eastAsia="nl-NL"/>
          <w14:ligatures w14:val="none"/>
        </w:rPr>
        <w:t>-based seasonality reconstruction from</w:t>
      </w:r>
      <w:r w:rsidRPr="00BE0720">
        <w:rPr>
          <w:rFonts w:ascii="Merriweather" w:hAnsi="Merriweather" w:eastAsia="Times New Roman" w:cs="Times New Roman"/>
          <w:b/>
          <w:bCs/>
          <w:color w:val="000000"/>
          <w:kern w:val="0"/>
          <w:sz w:val="24"/>
          <w:szCs w:val="24"/>
          <w:lang w:val="en-GB" w:eastAsia="nl-NL"/>
          <w14:ligatures w14:val="none"/>
        </w:rPr>
        <w:t xml:space="preserve"> Bivalve shells</w:t>
      </w:r>
    </w:p>
    <w:p w:rsidRPr="00B23590" w:rsidR="00655159" w:rsidP="00F927EE" w:rsidRDefault="00592750" w14:paraId="34F85ABE" w14:textId="3112DD5C">
      <w:pPr>
        <w:spacing w:after="240" w:line="240" w:lineRule="auto"/>
        <w:jc w:val="center"/>
        <w:rPr>
          <w:rFonts w:ascii="Merriweather" w:hAnsi="Merriweather" w:eastAsia="Times New Roman" w:cs="Times New Roman"/>
          <w:kern w:val="0"/>
          <w:sz w:val="24"/>
          <w:szCs w:val="24"/>
          <w:lang w:val="it-IT" w:eastAsia="nl-NL"/>
          <w14:ligatures w14:val="none"/>
        </w:rPr>
      </w:pPr>
      <w:r w:rsidRPr="00B23590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>Andrea Chiari</w:t>
      </w:r>
      <w:r w:rsidRPr="00B23590" w:rsidR="0065515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it-IT" w:eastAsia="nl-NL"/>
          <w14:ligatures w14:val="none"/>
        </w:rPr>
        <w:t>a</w:t>
      </w:r>
      <w:r w:rsidRPr="00B23590" w:rsidR="0065515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 xml:space="preserve">, </w:t>
      </w:r>
      <w:r w:rsidRPr="00B23590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>Niels de Winter</w:t>
      </w:r>
      <w:r w:rsidRPr="00B23590" w:rsidR="0065515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it-IT" w:eastAsia="nl-NL"/>
          <w14:ligatures w14:val="none"/>
        </w:rPr>
        <w:t>b</w:t>
      </w:r>
      <w:r w:rsidRPr="00B23590" w:rsidR="0065515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 xml:space="preserve">, </w:t>
      </w:r>
      <w:r w:rsidRPr="00B23590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>Gaia Crippa</w:t>
      </w:r>
      <w:r w:rsidRPr="00B23590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it-IT" w:eastAsia="nl-NL"/>
          <w14:ligatures w14:val="none"/>
        </w:rPr>
        <w:t>a</w:t>
      </w:r>
      <w:r w:rsidRPr="00B23590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 xml:space="preserve">, </w:t>
      </w:r>
      <w:r w:rsidRPr="00B23590" w:rsidR="00C62284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>Giulio Pavia</w:t>
      </w:r>
      <w:r w:rsidRPr="00B23590" w:rsidR="00C62284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it-IT" w:eastAsia="nl-NL"/>
          <w14:ligatures w14:val="none"/>
        </w:rPr>
        <w:t>c</w:t>
      </w:r>
      <w:r w:rsidRPr="00B23590" w:rsidR="00C62284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 xml:space="preserve">, </w:t>
      </w:r>
      <w:r w:rsidRPr="00B23590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it-IT" w:eastAsia="nl-NL"/>
          <w14:ligatures w14:val="none"/>
        </w:rPr>
        <w:t>Martin Ziegler</w:t>
      </w:r>
      <w:r w:rsidRPr="00B23590" w:rsidR="00C62284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it-IT" w:eastAsia="nl-NL"/>
          <w14:ligatures w14:val="none"/>
        </w:rPr>
        <w:t>d</w:t>
      </w:r>
    </w:p>
    <w:p w:rsidRPr="00CA46B9" w:rsidR="00655159" w:rsidP="00655159" w:rsidRDefault="00655159" w14:paraId="36BDE911" w14:textId="489AC38D">
      <w:pPr>
        <w:spacing w:after="0" w:line="240" w:lineRule="auto"/>
        <w:jc w:val="center"/>
        <w:rPr>
          <w:rFonts w:ascii="Merriweather" w:hAnsi="Merriweather" w:eastAsia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596AA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US" w:eastAsia="nl-NL"/>
          <w14:ligatures w14:val="none"/>
        </w:rPr>
        <w:t>a</w:t>
      </w:r>
      <w:r w:rsidRPr="00596AA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0B0E87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Department</w:t>
      </w:r>
      <w:r w:rsidR="00EB314C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 of Earth Sciences</w:t>
      </w:r>
      <w:r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 ‘A. Desio’</w:t>
      </w:r>
      <w:r w:rsidRPr="00893CE2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592750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University of Milan</w:t>
      </w:r>
      <w:r w:rsidRPr="00893CE2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592750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Milan</w:t>
      </w:r>
      <w:r w:rsidRPr="00893CE2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592750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Italy</w:t>
      </w:r>
    </w:p>
    <w:p w:rsidR="00655159" w:rsidP="00655159" w:rsidRDefault="00655159" w14:paraId="2EA2F3F0" w14:textId="5E188C78">
      <w:pPr>
        <w:spacing w:after="0" w:line="240" w:lineRule="auto"/>
        <w:jc w:val="center"/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</w:pPr>
      <w:r w:rsidRPr="00596AA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US" w:eastAsia="nl-NL"/>
          <w14:ligatures w14:val="none"/>
        </w:rPr>
        <w:t>b</w:t>
      </w:r>
      <w:r w:rsidRPr="00596AA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Department of Earth Sciences</w:t>
      </w:r>
      <w:r w:rsidRPr="00893CE2"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Vrije Universiteit Amsterdam</w:t>
      </w:r>
      <w:r w:rsidRPr="00893CE2"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Amsterdam</w:t>
      </w:r>
      <w:r w:rsidRPr="00893CE2"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Netherlands</w:t>
      </w:r>
    </w:p>
    <w:p w:rsidRPr="00CA46B9" w:rsidR="00E022B9" w:rsidP="00655159" w:rsidRDefault="00E022B9" w14:paraId="2E30D54B" w14:textId="7F282312">
      <w:pPr>
        <w:spacing w:after="0" w:line="240" w:lineRule="auto"/>
        <w:jc w:val="center"/>
        <w:rPr>
          <w:rFonts w:ascii="Merriweather" w:hAnsi="Merriweather" w:eastAsia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596AA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US" w:eastAsia="nl-NL"/>
          <w14:ligatures w14:val="none"/>
        </w:rPr>
        <w:t>c</w:t>
      </w:r>
      <w:r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 Department of Earth Sciences, University of Turin, Turin, Italy</w:t>
      </w:r>
    </w:p>
    <w:p w:rsidRPr="00E022B9" w:rsidR="00E022B9" w:rsidP="00E022B9" w:rsidRDefault="0059177E" w14:paraId="7E7C7663" w14:textId="22F7BF5F">
      <w:pPr>
        <w:spacing w:after="240" w:line="240" w:lineRule="auto"/>
        <w:jc w:val="center"/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</w:pPr>
      <w:r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US" w:eastAsia="nl-NL"/>
          <w14:ligatures w14:val="none"/>
        </w:rPr>
        <w:t>d</w:t>
      </w:r>
      <w:r w:rsidRPr="00596AA9" w:rsidR="0065515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Department of Earth Sciences</w:t>
      </w:r>
      <w:r w:rsidRPr="00893CE2"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Utrecht University</w:t>
      </w:r>
      <w:r w:rsidRPr="00893CE2"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Utrecht</w:t>
      </w:r>
      <w:r w:rsidRPr="00893CE2"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, </w:t>
      </w:r>
      <w:r w:rsidR="00C74DCE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Netherlands</w:t>
      </w:r>
    </w:p>
    <w:p w:rsidR="00655159" w:rsidP="00F927EE" w:rsidRDefault="00E022B9" w14:paraId="15DBCB51" w14:textId="1CC00061">
      <w:pPr>
        <w:spacing w:after="240" w:line="240" w:lineRule="auto"/>
        <w:jc w:val="both"/>
        <w:rPr>
          <w:rFonts w:ascii="Merriweather" w:hAnsi="Merriweather" w:eastAsia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Bivalve shells represent one of the most important biotic archives of geochemical proxies for </w:t>
      </w:r>
      <w:r w:rsidR="00CE12D6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high-resolution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palaeoclimatic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and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palaeoenvironmental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reconstructions. </w:t>
      </w:r>
      <w:proofErr w:type="gram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In particular,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sclerochronological</w:t>
      </w:r>
      <w:proofErr w:type="gramEnd"/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and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sclerochemical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analyses of calcium carbonate shells allow seasonal investigations of environmental variability (e.g. seawater temperature, </w:t>
      </w:r>
      <w:r w:rsidRPr="00E022B9" w:rsidR="00E022B9">
        <w:rPr>
          <w:rFonts w:ascii="Cambria" w:hAnsi="Cambria" w:eastAsia="Times New Roman" w:cs="Cambria"/>
          <w:color w:val="000000"/>
          <w:kern w:val="0"/>
          <w:sz w:val="24"/>
          <w:szCs w:val="24"/>
          <w:lang w:val="en-GB" w:eastAsia="nl-NL"/>
          <w14:ligatures w14:val="none"/>
        </w:rPr>
        <w:t>δ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GB" w:eastAsia="nl-NL"/>
          <w14:ligatures w14:val="none"/>
        </w:rPr>
        <w:t>18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O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bscript"/>
          <w:lang w:val="en-GB" w:eastAsia="nl-NL"/>
          <w14:ligatures w14:val="none"/>
        </w:rPr>
        <w:t>sw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, pH and nutrient supply) and comparisons across modern, </w:t>
      </w:r>
      <w:r w:rsidR="004E2153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historical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or deep-time settings. The Mid-Piacenzian Warm Period (3.3-3.0 Ma) is a Pliocene climate warming event, recognised as the most recent example of prolongated global warming in the geological past and regarded as a possible analogue for the future climate conditions </w:t>
      </w:r>
      <w:r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[1]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. The Rio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Vaccaruzza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section,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Villalvernia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(Piedmont, Italy) deposited in the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Palaeo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-Adriatic Basin, continuously covers this time interval and has rich mollusc assemblages </w:t>
      </w:r>
      <w:r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[2]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. It represents a key section </w:t>
      </w:r>
      <w:r w:rsidR="00CE12D6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in which</w:t>
      </w:r>
      <w:r w:rsidRPr="00E022B9" w:rsidR="00CE12D6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to study the seasonal palaeotemperature variation recorded by its excellently preserved bivalve shells using clumped isotope thermometry (Δ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bscript"/>
          <w:lang w:val="en-GB" w:eastAsia="nl-NL"/>
          <w14:ligatures w14:val="none"/>
        </w:rPr>
        <w:t>47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) through a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sclerochronological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approach. Here, we analyse four pristine bivalve specimens belonging to two families characterised by different growth rates: two </w:t>
      </w:r>
      <w:proofErr w:type="spellStart"/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>Glycymeris</w:t>
      </w:r>
      <w:proofErr w:type="spellEnd"/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 xml:space="preserve"> </w:t>
      </w:r>
      <w:proofErr w:type="spellStart"/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>bimaculata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(Poli, 1795) having slow growth rates, and</w:t>
      </w:r>
      <w:r w:rsidR="00CE12D6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two pectinids: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one </w:t>
      </w:r>
      <w:proofErr w:type="spellStart"/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>Aequipecten</w:t>
      </w:r>
      <w:proofErr w:type="spellEnd"/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 xml:space="preserve"> </w:t>
      </w:r>
      <w:proofErr w:type="spellStart"/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>opercularis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(Linnaeus, 1758) and one </w:t>
      </w:r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 xml:space="preserve">Perapecten </w:t>
      </w:r>
      <w:proofErr w:type="spellStart"/>
      <w:r w:rsidRPr="51B96505" w:rsidR="00E022B9">
        <w:rPr>
          <w:rFonts w:ascii="Merriweather" w:hAnsi="Merriweather" w:eastAsia="Times New Roman" w:cs="Times New Roman"/>
          <w:i w:val="1"/>
          <w:iCs w:val="1"/>
          <w:color w:val="000000"/>
          <w:kern w:val="0"/>
          <w:sz w:val="24"/>
          <w:szCs w:val="24"/>
          <w:lang w:val="en-GB" w:eastAsia="nl-NL"/>
          <w14:ligatures w14:val="none"/>
        </w:rPr>
        <w:t>scabrellus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(Lamarck, 1819) having fast growth rates. The use of species with different growth rates enables the reconstruction of the seasonality at different temporal resolutions, from 2-3 years (Pectinidae) to more than 10-15 years ranges (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Glycymerididae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). Specimens were collected from Bed 3 of the Rio </w:t>
      </w:r>
      <w:proofErr w:type="spellStart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Vaccaruzza</w:t>
      </w:r>
      <w:proofErr w:type="spellEnd"/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section, which is characterised by a muddy sand lithology belonging to the Sabbie di Asti Formation. The depositional environment is interpreted as an infralittoral setting influenced by hyperpycnal flows that produce bottom</w:t>
      </w:r>
      <w:r w:rsidR="00CE12D6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water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instability and salinity fluctuations. Due to this depositional setting, the application of clumped isotope analyses is crucial as it allows an independent reconstruction of seasonal seawater temperatures and </w:t>
      </w:r>
      <w:r w:rsidRPr="00E022B9" w:rsidR="00E022B9">
        <w:rPr>
          <w:rFonts w:ascii="Cambria" w:hAnsi="Cambria" w:eastAsia="Times New Roman" w:cs="Cambria"/>
          <w:color w:val="000000"/>
          <w:kern w:val="0"/>
          <w:sz w:val="24"/>
          <w:szCs w:val="24"/>
          <w:lang w:val="en-GB" w:eastAsia="nl-NL"/>
          <w14:ligatures w14:val="none"/>
        </w:rPr>
        <w:t>δ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GB" w:eastAsia="nl-NL"/>
          <w14:ligatures w14:val="none"/>
        </w:rPr>
        <w:t>18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O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bscript"/>
          <w:lang w:val="en-GB" w:eastAsia="nl-NL"/>
          <w14:ligatures w14:val="none"/>
        </w:rPr>
        <w:t>sw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variability recorded by bivalve shells. The preliminary Δ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bscript"/>
          <w:lang w:val="en-GB" w:eastAsia="nl-NL"/>
          <w14:ligatures w14:val="none"/>
        </w:rPr>
        <w:t>47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and </w:t>
      </w:r>
      <w:r w:rsidRPr="00E022B9" w:rsidR="00E022B9">
        <w:rPr>
          <w:rFonts w:ascii="Cambria" w:hAnsi="Cambria" w:eastAsia="Times New Roman" w:cs="Cambria"/>
          <w:color w:val="000000"/>
          <w:kern w:val="0"/>
          <w:sz w:val="24"/>
          <w:szCs w:val="24"/>
          <w:lang w:val="en-GB" w:eastAsia="nl-NL"/>
          <w14:ligatures w14:val="none"/>
        </w:rPr>
        <w:t>δ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GB" w:eastAsia="nl-NL"/>
          <w14:ligatures w14:val="none"/>
        </w:rPr>
        <w:t>18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O values of bivalve shells suggest a higher annual mean water temperature than in the modern Northern Adriatic Sea and seasonal fluctuations in </w:t>
      </w:r>
      <w:r w:rsidRPr="00E022B9" w:rsidR="00E022B9">
        <w:rPr>
          <w:rFonts w:ascii="Cambria" w:hAnsi="Cambria" w:eastAsia="Times New Roman" w:cs="Cambria"/>
          <w:color w:val="000000"/>
          <w:kern w:val="0"/>
          <w:sz w:val="24"/>
          <w:szCs w:val="24"/>
          <w:lang w:val="en-GB" w:eastAsia="nl-NL"/>
          <w14:ligatures w14:val="none"/>
        </w:rPr>
        <w:t>δ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perscript"/>
          <w:lang w:val="en-GB" w:eastAsia="nl-NL"/>
          <w14:ligatures w14:val="none"/>
        </w:rPr>
        <w:t>18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O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vertAlign w:val="subscript"/>
          <w:lang w:val="en-GB" w:eastAsia="nl-NL"/>
          <w14:ligatures w14:val="none"/>
        </w:rPr>
        <w:t>sw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 consistent with a shallow-marine environment characterised by </w:t>
      </w:r>
      <w:r w:rsidR="00CE12D6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 xml:space="preserve">seasonally varying 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GB" w:eastAsia="nl-NL"/>
          <w14:ligatures w14:val="none"/>
        </w:rPr>
        <w:t>freshwater input.</w:t>
      </w:r>
      <w:r w:rsidRPr="00CA46B9" w:rsidR="00655159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val="en-US" w:eastAsia="nl-NL"/>
          <w14:ligatures w14:val="none"/>
        </w:rPr>
        <w:t xml:space="preserve"> </w:t>
      </w:r>
    </w:p>
    <w:p w:rsidRPr="00BE0720" w:rsidR="00655159" w:rsidP="00655159" w:rsidRDefault="00655159" w14:paraId="2C13989A" w14:textId="77777777">
      <w:pPr>
        <w:spacing w:after="0" w:line="240" w:lineRule="auto"/>
        <w:jc w:val="both"/>
        <w:rPr>
          <w:rFonts w:ascii="Merriweather" w:hAnsi="Merriweather" w:eastAsia="Times New Roman" w:cs="Times New Roman"/>
          <w:kern w:val="0"/>
          <w:sz w:val="24"/>
          <w:szCs w:val="24"/>
          <w:lang w:val="en-GB" w:eastAsia="nl-NL"/>
          <w14:ligatures w14:val="none"/>
        </w:rPr>
      </w:pPr>
      <w:r w:rsidRPr="00BE0720">
        <w:rPr>
          <w:rFonts w:ascii="Merriweather" w:hAnsi="Merriweather" w:eastAsia="Times New Roman" w:cs="Times New Roman"/>
          <w:b/>
          <w:bCs/>
          <w:color w:val="000000"/>
          <w:kern w:val="0"/>
          <w:sz w:val="24"/>
          <w:szCs w:val="24"/>
          <w:lang w:val="en-GB" w:eastAsia="nl-NL"/>
          <w14:ligatures w14:val="none"/>
        </w:rPr>
        <w:t>References</w:t>
      </w:r>
    </w:p>
    <w:p w:rsidRPr="004E2153" w:rsidR="00655159" w:rsidP="00E022B9" w:rsidRDefault="00655159" w14:paraId="06D20BF0" w14:textId="5BF82FF7">
      <w:pPr>
        <w:spacing w:after="0" w:line="240" w:lineRule="auto"/>
        <w:jc w:val="both"/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</w:pPr>
      <w:r w:rsidRPr="00BE0720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lastRenderedPageBreak/>
        <w:t>[1]</w:t>
      </w:r>
      <w:r w:rsidRPr="00BE0720" w:rsidR="00E022B9">
        <w:rPr>
          <w:lang w:val="en-GB"/>
        </w:rPr>
        <w:t xml:space="preserve"> </w:t>
      </w:r>
      <w:r w:rsidRPr="00BE0720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Burke K. D., Williams J. W., Chandler M. A., Haywood A. M., Lunt D. J., Otto-</w:t>
      </w:r>
      <w:proofErr w:type="spellStart"/>
      <w:r w:rsidRPr="00BE0720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Bliesnerg</w:t>
      </w:r>
      <w:proofErr w:type="spellEnd"/>
      <w:r w:rsidRPr="00BE0720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B. L. (2018) - Pliocene and Eocene provide best </w:t>
      </w:r>
      <w:proofErr w:type="spellStart"/>
      <w:r w:rsidRPr="00BE0720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analogs</w:t>
      </w:r>
      <w:proofErr w:type="spellEnd"/>
      <w:r w:rsidRPr="00BE0720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for </w:t>
      </w:r>
      <w:proofErr w:type="spellStart"/>
      <w:r w:rsidRPr="00BE0720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>nearfuture</w:t>
      </w:r>
      <w:proofErr w:type="spellEnd"/>
      <w:r w:rsidRPr="00BE0720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GB" w:eastAsia="nl-NL"/>
          <w14:ligatures w14:val="none"/>
        </w:rPr>
        <w:t xml:space="preserve"> climates. </w:t>
      </w:r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>PNAS, 115 (52), 13288-13293.</w:t>
      </w:r>
    </w:p>
    <w:p w:rsidRPr="00E022B9" w:rsidR="00444324" w:rsidP="00E022B9" w:rsidRDefault="00655159" w14:paraId="5D5F28C4" w14:textId="6E2CD29D">
      <w:pPr>
        <w:spacing w:after="0" w:line="240" w:lineRule="auto"/>
        <w:jc w:val="both"/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eastAsia="nl-NL"/>
          <w14:ligatures w14:val="none"/>
        </w:rPr>
      </w:pPr>
      <w:r w:rsidRPr="004E2153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>[2]</w:t>
      </w:r>
      <w:r w:rsidRPr="004E2153" w:rsidR="00E022B9">
        <w:rPr>
          <w:lang w:val="it-IT"/>
        </w:rPr>
        <w:t xml:space="preserve"> </w:t>
      </w:r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 xml:space="preserve">Pavia G., Dulai A., Festa A., Gennari R., Pavia M., Carnevale G. (2022) - </w:t>
      </w:r>
      <w:proofErr w:type="spellStart"/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>Palaeontology</w:t>
      </w:r>
      <w:proofErr w:type="spellEnd"/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 xml:space="preserve"> of the Upper Pliocene marine </w:t>
      </w:r>
      <w:proofErr w:type="spellStart"/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>deposits</w:t>
      </w:r>
      <w:proofErr w:type="spellEnd"/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 xml:space="preserve"> of Rio </w:t>
      </w:r>
      <w:proofErr w:type="spellStart"/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>Vaccaruzza</w:t>
      </w:r>
      <w:proofErr w:type="spellEnd"/>
      <w:r w:rsidRPr="004E2153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it-IT" w:eastAsia="nl-NL"/>
          <w14:ligatures w14:val="none"/>
        </w:rPr>
        <w:t xml:space="preserve">, Villalvernia (Piedmont, NW Italy). </w:t>
      </w:r>
      <w:r w:rsidRPr="00E022B9" w:rsidR="00E022B9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eastAsia="nl-NL"/>
          <w14:ligatures w14:val="none"/>
        </w:rPr>
        <w:t>Rivista Italiana di Paleontologia e Stratatigrafia, 128 (1), 129-210.</w:t>
      </w:r>
      <w:r w:rsidRPr="00CA46B9" w:rsidR="00444324">
        <w:rPr>
          <w:rFonts w:ascii="Merriweather" w:hAnsi="Merriweather" w:eastAsia="Times New Roman" w:cs="Times New Roman"/>
          <w:color w:val="000000"/>
          <w:kern w:val="0"/>
          <w:sz w:val="24"/>
          <w:szCs w:val="24"/>
          <w:lang w:eastAsia="nl-NL"/>
          <w14:ligatures w14:val="none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4"/>
        <w:gridCol w:w="2854"/>
        <w:gridCol w:w="2854"/>
      </w:tblGrid>
      <w:tr w:rsidRPr="00BE0720" w:rsidR="00655159" w:rsidTr="00655159" w14:paraId="03821397" w14:textId="77777777">
        <w:trPr>
          <w:trHeight w:val="270"/>
        </w:trPr>
        <w:tc>
          <w:tcPr>
            <w:tcW w:w="0" w:type="auto"/>
            <w:gridSpan w:val="3"/>
            <w:tcBorders>
              <w:bottom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F927EE" w:rsidRDefault="00975203" w14:paraId="2776615E" w14:textId="099242B0">
            <w:pPr>
              <w:spacing w:after="120" w:line="240" w:lineRule="auto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975203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lastRenderedPageBreak/>
              <w:t>Table 1</w:t>
            </w:r>
            <w:proofErr w:type="gramStart"/>
            <w:r w:rsidRPr="00975203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:</w:t>
            </w:r>
            <w:r w:rsidRPr="00CA46B9" w:rsidR="00655159">
              <w:rPr>
                <w:rFonts w:ascii="Merriweather" w:hAnsi="Merriweather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  </w:t>
            </w:r>
            <w:r w:rsidRPr="00CA46B9" w:rsidR="0065515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>Type</w:t>
            </w:r>
            <w:proofErr w:type="gramEnd"/>
            <w:r w:rsidRPr="00CA46B9" w:rsidR="0065515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Table Name Here.</w:t>
            </w:r>
          </w:p>
        </w:tc>
      </w:tr>
      <w:tr w:rsidRPr="00CA46B9" w:rsidR="00655159" w:rsidTr="00655159" w14:paraId="6CD7A228" w14:textId="77777777">
        <w:trPr>
          <w:trHeight w:val="250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3036436D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Column Header Goes Here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2CC56F96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Column Header Goes Here</w:t>
            </w:r>
          </w:p>
        </w:tc>
        <w:tc>
          <w:tcPr>
            <w:tcW w:w="0" w:type="auto"/>
            <w:tcBorders>
              <w:top w:val="single" w:color="000000" w:sz="4" w:space="0"/>
              <w:bottom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2D568FCE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Column Header Goes Here</w:t>
            </w:r>
          </w:p>
        </w:tc>
      </w:tr>
      <w:tr w:rsidRPr="00CA46B9" w:rsidR="00655159" w:rsidTr="00655159" w14:paraId="6B15A3F6" w14:textId="77777777">
        <w:trPr>
          <w:trHeight w:val="270"/>
        </w:trPr>
        <w:tc>
          <w:tcPr>
            <w:tcW w:w="0" w:type="auto"/>
            <w:tcBorders>
              <w:top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2774CDF2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Row Name Goes Here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470D88AB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6D40D419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x</w:t>
            </w:r>
          </w:p>
        </w:tc>
      </w:tr>
      <w:tr w:rsidRPr="00CA46B9" w:rsidR="00655159" w:rsidTr="00655159" w14:paraId="533E2E26" w14:textId="77777777">
        <w:trPr>
          <w:trHeight w:val="27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38400F53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Row Name Goes Here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0C98BFD8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5B046908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x</w:t>
            </w:r>
          </w:p>
        </w:tc>
      </w:tr>
      <w:tr w:rsidRPr="00CA46B9" w:rsidR="00655159" w:rsidTr="00655159" w14:paraId="5D5662EB" w14:textId="77777777">
        <w:trPr>
          <w:trHeight w:val="270"/>
        </w:trPr>
        <w:tc>
          <w:tcPr>
            <w:tcW w:w="0" w:type="auto"/>
            <w:tcBorders>
              <w:bottom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137D4445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Row Name Goes Here</w:t>
            </w:r>
          </w:p>
        </w:tc>
        <w:tc>
          <w:tcPr>
            <w:tcW w:w="0" w:type="auto"/>
            <w:tcBorders>
              <w:bottom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47B0C416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CA46B9" w:rsidR="00655159" w:rsidP="00655159" w:rsidRDefault="00655159" w14:paraId="635F6299" w14:textId="77777777">
            <w:pPr>
              <w:spacing w:after="0" w:line="240" w:lineRule="auto"/>
              <w:jc w:val="center"/>
              <w:rPr>
                <w:rFonts w:ascii="Merriweather" w:hAnsi="Merriweather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A46B9">
              <w:rPr>
                <w:rFonts w:ascii="Merriweather" w:hAnsi="Merriweather" w:eastAsia="Times New Roman" w:cs="Times New Roman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x</w:t>
            </w:r>
          </w:p>
        </w:tc>
      </w:tr>
    </w:tbl>
    <w:p w:rsidR="00655159" w:rsidP="00655159" w:rsidRDefault="00655159" w14:paraId="561DBB52" w14:textId="3738971D">
      <w:pPr>
        <w:spacing w:after="240" w:line="240" w:lineRule="auto"/>
        <w:rPr>
          <w:rFonts w:ascii="Merriweather" w:hAnsi="Merriweather" w:eastAsia="Times New Roman" w:cs="Times New Roman"/>
          <w:kern w:val="0"/>
          <w:sz w:val="24"/>
          <w:szCs w:val="24"/>
          <w:lang w:eastAsia="nl-NL"/>
          <w14:ligatures w14:val="none"/>
        </w:rPr>
      </w:pPr>
    </w:p>
    <w:p w:rsidRPr="00CA46B9" w:rsidR="00975203" w:rsidP="00761E25" w:rsidRDefault="00761E25" w14:paraId="30E82410" w14:textId="55B350E5">
      <w:pPr>
        <w:spacing w:after="120" w:line="240" w:lineRule="auto"/>
        <w:jc w:val="center"/>
        <w:rPr>
          <w:rFonts w:ascii="Merriweather" w:hAnsi="Merriweather" w:eastAsia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Merriweather" w:hAnsi="Merriweather" w:eastAsia="Times New Roman" w:cs="Times New Roman"/>
          <w:noProof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367A90EB" wp14:editId="2DABAAB9">
            <wp:extent cx="1466850" cy="1466850"/>
            <wp:effectExtent l="0" t="0" r="0" b="0"/>
            <wp:docPr id="1990633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75203" w:rsidR="00C00865" w:rsidP="00975203" w:rsidRDefault="00655159" w14:paraId="1295EC47" w14:textId="6FB3CFD8">
      <w:pPr>
        <w:spacing w:after="0" w:line="240" w:lineRule="auto"/>
        <w:jc w:val="both"/>
        <w:rPr>
          <w:rFonts w:ascii="Merriweather" w:hAnsi="Merriweather" w:eastAsia="Times New Roman" w:cs="Times New Roman"/>
          <w:kern w:val="0"/>
          <w:sz w:val="20"/>
          <w:szCs w:val="20"/>
          <w:lang w:val="en-US" w:eastAsia="nl-NL"/>
          <w14:ligatures w14:val="none"/>
        </w:rPr>
      </w:pPr>
      <w:r w:rsidRPr="00975203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Figure 1</w:t>
      </w:r>
      <w:proofErr w:type="gramStart"/>
      <w:r w:rsidR="00975203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:</w:t>
      </w:r>
      <w:r w:rsidRPr="00975203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  This</w:t>
      </w:r>
      <w:proofErr w:type="gramEnd"/>
      <w:r w:rsidRPr="00975203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 is the style for figure captions. Make sure that the figure caption is on the same page as the figure itself and </w:t>
      </w:r>
      <w:proofErr w:type="gramStart"/>
      <w:r w:rsidRPr="00975203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>no</w:t>
      </w:r>
      <w:proofErr w:type="gramEnd"/>
      <w:r w:rsidRPr="00975203">
        <w:rPr>
          <w:rFonts w:ascii="Merriweather" w:hAnsi="Merriweather" w:eastAsia="Times New Roman" w:cs="Times New Roman"/>
          <w:color w:val="000000"/>
          <w:kern w:val="0"/>
          <w:sz w:val="20"/>
          <w:szCs w:val="20"/>
          <w:lang w:val="en-US" w:eastAsia="nl-NL"/>
          <w14:ligatures w14:val="none"/>
        </w:rPr>
        <w:t xml:space="preserve"> more than 4 sentences. </w:t>
      </w:r>
    </w:p>
    <w:sectPr w:rsidRPr="00975203" w:rsidR="00C0086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43"/>
    <w:rsid w:val="000B0E87"/>
    <w:rsid w:val="00235D01"/>
    <w:rsid w:val="0025614F"/>
    <w:rsid w:val="002E2778"/>
    <w:rsid w:val="003E3E24"/>
    <w:rsid w:val="00410AE1"/>
    <w:rsid w:val="00444324"/>
    <w:rsid w:val="004D4A3E"/>
    <w:rsid w:val="004E2153"/>
    <w:rsid w:val="00540A15"/>
    <w:rsid w:val="00571090"/>
    <w:rsid w:val="0057207C"/>
    <w:rsid w:val="0059177E"/>
    <w:rsid w:val="00592750"/>
    <w:rsid w:val="00596AA9"/>
    <w:rsid w:val="00655159"/>
    <w:rsid w:val="00676BFB"/>
    <w:rsid w:val="006F7F36"/>
    <w:rsid w:val="00716BC2"/>
    <w:rsid w:val="007467DB"/>
    <w:rsid w:val="00761E25"/>
    <w:rsid w:val="00893CE2"/>
    <w:rsid w:val="008B7BD5"/>
    <w:rsid w:val="008C0F21"/>
    <w:rsid w:val="008C50F8"/>
    <w:rsid w:val="008F1641"/>
    <w:rsid w:val="009067F6"/>
    <w:rsid w:val="00975203"/>
    <w:rsid w:val="009D4EB7"/>
    <w:rsid w:val="00A02E45"/>
    <w:rsid w:val="00A45241"/>
    <w:rsid w:val="00B23590"/>
    <w:rsid w:val="00B93EF4"/>
    <w:rsid w:val="00BC1FA9"/>
    <w:rsid w:val="00BE0720"/>
    <w:rsid w:val="00BF3728"/>
    <w:rsid w:val="00C00865"/>
    <w:rsid w:val="00C20126"/>
    <w:rsid w:val="00C62284"/>
    <w:rsid w:val="00C74DCE"/>
    <w:rsid w:val="00CA46B9"/>
    <w:rsid w:val="00CE12D6"/>
    <w:rsid w:val="00D54B3F"/>
    <w:rsid w:val="00DD08FD"/>
    <w:rsid w:val="00E022B9"/>
    <w:rsid w:val="00E17A7F"/>
    <w:rsid w:val="00E97E43"/>
    <w:rsid w:val="00EB314C"/>
    <w:rsid w:val="00F30B56"/>
    <w:rsid w:val="00F927EE"/>
    <w:rsid w:val="51B9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4FE26"/>
  <w15:chartTrackingRefBased/>
  <w15:docId w15:val="{81C5544E-FD95-40F0-A95A-28D041F6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97E4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E07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0720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BE072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0720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BE0720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E12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07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365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Utrecht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Volz, J.B. (Jessica)</dc:creator>
  <keywords/>
  <dc:description/>
  <lastModifiedBy>Andrea Chiari</lastModifiedBy>
  <revision>5</revision>
  <dcterms:created xsi:type="dcterms:W3CDTF">2026-03-30T06:44:00.0000000Z</dcterms:created>
  <dcterms:modified xsi:type="dcterms:W3CDTF">2026-04-13T14:19:01.9863986Z</dcterms:modified>
</coreProperties>
</file>