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2D41" w:rsidRPr="000477F3" w:rsidRDefault="00602D41" w:rsidP="00093B6F">
      <w:pPr>
        <w:pStyle w:val="Autori"/>
        <w:spacing w:before="0" w:after="0"/>
        <w:jc w:val="both"/>
        <w:rPr>
          <w:b/>
          <w:i w:val="0"/>
          <w:lang w:val="en-US"/>
        </w:rPr>
      </w:pPr>
      <w:bookmarkStart w:id="0" w:name="_GoBack"/>
      <w:bookmarkEnd w:id="0"/>
      <w:r w:rsidRPr="000477F3">
        <w:rPr>
          <w:b/>
          <w:i w:val="0"/>
          <w:lang w:val="en-US"/>
        </w:rPr>
        <w:t>The foodservice sector: assessment and operative instruments to improve the safety.</w:t>
      </w:r>
    </w:p>
    <w:p w:rsidR="00602D41" w:rsidRPr="000477F3" w:rsidRDefault="00602D41" w:rsidP="00093B6F">
      <w:pPr>
        <w:pStyle w:val="Autori"/>
        <w:spacing w:before="0" w:after="0"/>
        <w:rPr>
          <w:i w:val="0"/>
          <w:lang w:val="en-US"/>
        </w:rPr>
      </w:pPr>
    </w:p>
    <w:p w:rsidR="00602D41" w:rsidRPr="005804E4" w:rsidRDefault="00602D41" w:rsidP="00093B6F">
      <w:pPr>
        <w:pStyle w:val="Autori"/>
        <w:spacing w:before="0" w:after="0"/>
        <w:rPr>
          <w:i w:val="0"/>
        </w:rPr>
      </w:pPr>
      <w:r w:rsidRPr="005804E4">
        <w:rPr>
          <w:i w:val="0"/>
        </w:rPr>
        <w:t>Guidetti R.</w:t>
      </w:r>
      <w:r w:rsidRPr="005804E4">
        <w:rPr>
          <w:i w:val="0"/>
          <w:vertAlign w:val="superscript"/>
        </w:rPr>
        <w:t>(1)</w:t>
      </w:r>
      <w:r w:rsidRPr="005804E4">
        <w:rPr>
          <w:i w:val="0"/>
        </w:rPr>
        <w:t xml:space="preserve"> </w:t>
      </w:r>
    </w:p>
    <w:p w:rsidR="00602D41" w:rsidRPr="000477F3" w:rsidRDefault="00602D41" w:rsidP="00093B6F">
      <w:pPr>
        <w:pStyle w:val="Ente"/>
        <w:numPr>
          <w:ilvl w:val="0"/>
          <w:numId w:val="0"/>
        </w:numPr>
        <w:jc w:val="both"/>
        <w:rPr>
          <w:sz w:val="24"/>
          <w:szCs w:val="24"/>
          <w:lang w:val="en-US"/>
        </w:rPr>
      </w:pPr>
      <w:r w:rsidRPr="005804E4">
        <w:rPr>
          <w:i w:val="0"/>
          <w:sz w:val="24"/>
          <w:szCs w:val="24"/>
          <w:vertAlign w:val="superscript"/>
        </w:rPr>
        <w:t xml:space="preserve">(1) </w:t>
      </w:r>
      <w:r w:rsidRPr="005804E4">
        <w:rPr>
          <w:sz w:val="24"/>
          <w:szCs w:val="24"/>
        </w:rPr>
        <w:t xml:space="preserve">Università degli Studi di Milano. </w:t>
      </w:r>
      <w:r w:rsidRPr="000477F3">
        <w:rPr>
          <w:sz w:val="24"/>
          <w:szCs w:val="24"/>
          <w:lang w:val="en-US"/>
        </w:rPr>
        <w:t>Dept. of Agricultural Engineering</w:t>
      </w:r>
    </w:p>
    <w:p w:rsidR="00602D41" w:rsidRPr="000477F3" w:rsidRDefault="00602D41" w:rsidP="00093B6F">
      <w:pPr>
        <w:pStyle w:val="Ente"/>
        <w:numPr>
          <w:ilvl w:val="0"/>
          <w:numId w:val="0"/>
        </w:numPr>
        <w:jc w:val="both"/>
        <w:rPr>
          <w:sz w:val="24"/>
          <w:szCs w:val="24"/>
          <w:lang w:val="en-US"/>
        </w:rPr>
      </w:pPr>
      <w:r w:rsidRPr="000477F3">
        <w:rPr>
          <w:sz w:val="24"/>
          <w:szCs w:val="24"/>
          <w:lang w:val="en-US"/>
        </w:rPr>
        <w:t xml:space="preserve">Via Celoria,2 – 20133 Milano, ITALY. </w:t>
      </w:r>
    </w:p>
    <w:p w:rsidR="00602D41" w:rsidRPr="000477F3" w:rsidRDefault="00602D41" w:rsidP="00093B6F">
      <w:pPr>
        <w:pStyle w:val="Ente"/>
        <w:numPr>
          <w:ilvl w:val="0"/>
          <w:numId w:val="0"/>
        </w:numPr>
        <w:rPr>
          <w:sz w:val="24"/>
          <w:szCs w:val="24"/>
          <w:lang w:val="en-US"/>
        </w:rPr>
      </w:pPr>
      <w:r w:rsidRPr="000477F3">
        <w:rPr>
          <w:sz w:val="24"/>
          <w:szCs w:val="24"/>
          <w:lang w:val="en-US"/>
        </w:rPr>
        <w:t>Tel 0039 0250316870, Fax 0039 0250316845</w:t>
      </w:r>
    </w:p>
    <w:p w:rsidR="00602D41" w:rsidRPr="000477F3" w:rsidRDefault="00602D41" w:rsidP="00093B6F">
      <w:pPr>
        <w:pStyle w:val="Ente"/>
        <w:numPr>
          <w:ilvl w:val="0"/>
          <w:numId w:val="0"/>
        </w:numPr>
        <w:rPr>
          <w:sz w:val="24"/>
          <w:szCs w:val="24"/>
          <w:lang w:val="en-US"/>
        </w:rPr>
      </w:pPr>
      <w:r w:rsidRPr="000477F3">
        <w:rPr>
          <w:sz w:val="24"/>
          <w:szCs w:val="24"/>
          <w:lang w:val="en-US"/>
        </w:rPr>
        <w:t>Email corresponding Author: riccardo.guidetti@unimi.it</w:t>
      </w:r>
    </w:p>
    <w:p w:rsidR="00602D41" w:rsidRPr="000477F3" w:rsidRDefault="00602D41" w:rsidP="00093B6F">
      <w:pPr>
        <w:pStyle w:val="Parolechiave"/>
        <w:widowControl w:val="0"/>
        <w:spacing w:before="0"/>
        <w:rPr>
          <w:i w:val="0"/>
          <w:lang w:val="en-US"/>
        </w:rPr>
      </w:pPr>
    </w:p>
    <w:p w:rsidR="00F03A4F" w:rsidRPr="000477F3" w:rsidRDefault="00F03A4F" w:rsidP="00F03A4F">
      <w:pPr>
        <w:pStyle w:val="Titoloparagrafo"/>
        <w:rPr>
          <w:lang w:val="en-US"/>
        </w:rPr>
      </w:pPr>
    </w:p>
    <w:p w:rsidR="00602D41" w:rsidRPr="000477F3" w:rsidRDefault="00602D41" w:rsidP="00093B6F">
      <w:pPr>
        <w:pStyle w:val="Titoloparagrafo"/>
        <w:keepNext w:val="0"/>
        <w:widowControl w:val="0"/>
        <w:spacing w:before="0"/>
        <w:rPr>
          <w:lang w:val="en-US"/>
        </w:rPr>
      </w:pPr>
      <w:r w:rsidRPr="000477F3">
        <w:rPr>
          <w:lang w:val="en-US"/>
        </w:rPr>
        <w:t xml:space="preserve">Abstracts </w:t>
      </w:r>
    </w:p>
    <w:p w:rsidR="00602D41" w:rsidRPr="000477F3" w:rsidRDefault="00602D41" w:rsidP="00093B6F">
      <w:pPr>
        <w:spacing w:after="0" w:line="240" w:lineRule="auto"/>
        <w:rPr>
          <w:rFonts w:ascii="Times New Roman" w:hAnsi="Times New Roman" w:cs="Times New Roman"/>
          <w:sz w:val="24"/>
          <w:szCs w:val="24"/>
          <w:lang w:val="en-US" w:eastAsia="it-IT"/>
        </w:rPr>
      </w:pPr>
    </w:p>
    <w:p w:rsidR="00825518" w:rsidRPr="000477F3" w:rsidRDefault="00825518" w:rsidP="00825518">
      <w:pPr>
        <w:pStyle w:val="Testo"/>
        <w:rPr>
          <w:color w:val="333333"/>
          <w:lang w:val="en-US"/>
        </w:rPr>
      </w:pPr>
      <w:r w:rsidRPr="000477F3">
        <w:rPr>
          <w:rStyle w:val="hps"/>
          <w:color w:val="333333"/>
          <w:lang w:val="en-US"/>
        </w:rPr>
        <w:t>The</w:t>
      </w:r>
      <w:r w:rsidRPr="000477F3">
        <w:rPr>
          <w:color w:val="333333"/>
          <w:lang w:val="en-US"/>
        </w:rPr>
        <w:t xml:space="preserve"> foodservice centers, in these last years, </w:t>
      </w:r>
      <w:r w:rsidRPr="000477F3">
        <w:rPr>
          <w:rStyle w:val="hps"/>
          <w:color w:val="333333"/>
          <w:lang w:val="en-US"/>
        </w:rPr>
        <w:t>increased their</w:t>
      </w:r>
      <w:r w:rsidRPr="000477F3">
        <w:rPr>
          <w:color w:val="333333"/>
          <w:lang w:val="en-US"/>
        </w:rPr>
        <w:t xml:space="preserve"> </w:t>
      </w:r>
      <w:r w:rsidRPr="000477F3">
        <w:rPr>
          <w:rStyle w:val="hps"/>
          <w:color w:val="333333"/>
          <w:lang w:val="en-US"/>
        </w:rPr>
        <w:t>performance by increasing</w:t>
      </w:r>
      <w:r w:rsidRPr="000477F3">
        <w:rPr>
          <w:color w:val="333333"/>
          <w:lang w:val="en-US"/>
        </w:rPr>
        <w:t xml:space="preserve"> </w:t>
      </w:r>
      <w:r w:rsidRPr="000477F3">
        <w:rPr>
          <w:rStyle w:val="hps"/>
          <w:color w:val="333333"/>
          <w:lang w:val="en-US"/>
        </w:rPr>
        <w:t>productivity and</w:t>
      </w:r>
      <w:r w:rsidRPr="000477F3">
        <w:rPr>
          <w:color w:val="333333"/>
          <w:lang w:val="en-US"/>
        </w:rPr>
        <w:t xml:space="preserve"> </w:t>
      </w:r>
      <w:r w:rsidRPr="000477F3">
        <w:rPr>
          <w:rStyle w:val="hps"/>
          <w:color w:val="333333"/>
          <w:lang w:val="en-US"/>
        </w:rPr>
        <w:t>the technological level</w:t>
      </w:r>
      <w:r w:rsidRPr="000477F3">
        <w:rPr>
          <w:color w:val="333333"/>
          <w:lang w:val="en-US"/>
        </w:rPr>
        <w:t xml:space="preserve"> </w:t>
      </w:r>
      <w:r w:rsidRPr="000477F3">
        <w:rPr>
          <w:rStyle w:val="hps"/>
          <w:color w:val="333333"/>
          <w:lang w:val="en-US"/>
        </w:rPr>
        <w:t>but,</w:t>
      </w:r>
      <w:r w:rsidRPr="000477F3">
        <w:rPr>
          <w:color w:val="333333"/>
          <w:lang w:val="en-US"/>
        </w:rPr>
        <w:t xml:space="preserve"> </w:t>
      </w:r>
      <w:r w:rsidRPr="000477F3">
        <w:rPr>
          <w:rStyle w:val="hps"/>
          <w:color w:val="333333"/>
          <w:lang w:val="en-US"/>
        </w:rPr>
        <w:t>at the same time,</w:t>
      </w:r>
      <w:r w:rsidRPr="000477F3">
        <w:rPr>
          <w:color w:val="333333"/>
          <w:lang w:val="en-US"/>
        </w:rPr>
        <w:t xml:space="preserve"> </w:t>
      </w:r>
      <w:r w:rsidRPr="000477F3">
        <w:rPr>
          <w:rStyle w:val="hps"/>
          <w:color w:val="333333"/>
          <w:lang w:val="en-US"/>
        </w:rPr>
        <w:t>still represent</w:t>
      </w:r>
      <w:r w:rsidRPr="000477F3">
        <w:rPr>
          <w:color w:val="333333"/>
          <w:lang w:val="en-US"/>
        </w:rPr>
        <w:t xml:space="preserve"> </w:t>
      </w:r>
      <w:r w:rsidRPr="000477F3">
        <w:rPr>
          <w:rStyle w:val="hps"/>
          <w:color w:val="333333"/>
          <w:lang w:val="en-US"/>
        </w:rPr>
        <w:t>a context where</w:t>
      </w:r>
      <w:r w:rsidRPr="000477F3">
        <w:rPr>
          <w:color w:val="333333"/>
          <w:lang w:val="en-US"/>
        </w:rPr>
        <w:t xml:space="preserve"> </w:t>
      </w:r>
      <w:r w:rsidRPr="000477F3">
        <w:rPr>
          <w:rStyle w:val="hps"/>
          <w:color w:val="333333"/>
          <w:lang w:val="en-US"/>
        </w:rPr>
        <w:t>worker safety</w:t>
      </w:r>
      <w:r w:rsidRPr="000477F3">
        <w:rPr>
          <w:color w:val="333333"/>
          <w:lang w:val="en-US"/>
        </w:rPr>
        <w:t xml:space="preserve"> </w:t>
      </w:r>
      <w:r w:rsidRPr="000477F3">
        <w:rPr>
          <w:rStyle w:val="hps"/>
          <w:color w:val="333333"/>
          <w:lang w:val="en-US"/>
        </w:rPr>
        <w:t>is put</w:t>
      </w:r>
      <w:r w:rsidRPr="000477F3">
        <w:rPr>
          <w:color w:val="333333"/>
          <w:lang w:val="en-US"/>
        </w:rPr>
        <w:t xml:space="preserve"> </w:t>
      </w:r>
      <w:r w:rsidRPr="000477F3">
        <w:rPr>
          <w:rStyle w:val="hps"/>
          <w:color w:val="333333"/>
          <w:lang w:val="en-US"/>
        </w:rPr>
        <w:t>at great risk</w:t>
      </w:r>
      <w:r w:rsidRPr="000477F3">
        <w:rPr>
          <w:color w:val="333333"/>
          <w:lang w:val="en-US"/>
        </w:rPr>
        <w:t xml:space="preserve"> </w:t>
      </w:r>
      <w:r w:rsidRPr="000477F3">
        <w:rPr>
          <w:rStyle w:val="hps"/>
          <w:color w:val="333333"/>
          <w:lang w:val="en-US"/>
        </w:rPr>
        <w:t>because</w:t>
      </w:r>
      <w:r w:rsidRPr="000477F3">
        <w:rPr>
          <w:color w:val="333333"/>
          <w:lang w:val="en-US"/>
        </w:rPr>
        <w:t xml:space="preserve">, </w:t>
      </w:r>
      <w:r w:rsidRPr="000477F3">
        <w:rPr>
          <w:rStyle w:val="hps"/>
          <w:color w:val="333333"/>
          <w:lang w:val="en-US"/>
        </w:rPr>
        <w:t>especially in the expressed</w:t>
      </w:r>
      <w:r w:rsidRPr="000477F3">
        <w:rPr>
          <w:color w:val="333333"/>
          <w:lang w:val="en-US"/>
        </w:rPr>
        <w:t xml:space="preserve"> </w:t>
      </w:r>
      <w:r w:rsidRPr="000477F3">
        <w:rPr>
          <w:rStyle w:val="hps"/>
          <w:color w:val="333333"/>
          <w:lang w:val="en-US"/>
        </w:rPr>
        <w:t>productive</w:t>
      </w:r>
      <w:r w:rsidRPr="000477F3">
        <w:rPr>
          <w:color w:val="333333"/>
          <w:lang w:val="en-US"/>
        </w:rPr>
        <w:t xml:space="preserve"> organization </w:t>
      </w:r>
      <w:r w:rsidRPr="000477F3">
        <w:rPr>
          <w:rStyle w:val="hps"/>
          <w:color w:val="333333"/>
          <w:lang w:val="en-US"/>
        </w:rPr>
        <w:t>(</w:t>
      </w:r>
      <w:r w:rsidRPr="000477F3">
        <w:rPr>
          <w:color w:val="333333"/>
          <w:lang w:val="en-US"/>
        </w:rPr>
        <w:t xml:space="preserve">the so-called </w:t>
      </w:r>
      <w:r w:rsidRPr="000477F3">
        <w:rPr>
          <w:rStyle w:val="hps"/>
          <w:color w:val="333333"/>
          <w:lang w:val="en-US"/>
        </w:rPr>
        <w:t>fresh</w:t>
      </w:r>
      <w:r w:rsidRPr="000477F3">
        <w:rPr>
          <w:rStyle w:val="atn"/>
          <w:color w:val="333333"/>
          <w:lang w:val="en-US"/>
        </w:rPr>
        <w:t>-</w:t>
      </w:r>
      <w:r w:rsidRPr="000477F3">
        <w:rPr>
          <w:rStyle w:val="hps"/>
          <w:color w:val="333333"/>
          <w:lang w:val="en-US"/>
        </w:rPr>
        <w:t>hot link)</w:t>
      </w:r>
      <w:r w:rsidRPr="000477F3">
        <w:rPr>
          <w:color w:val="333333"/>
          <w:lang w:val="en-US"/>
        </w:rPr>
        <w:t xml:space="preserve">, the times are </w:t>
      </w:r>
      <w:r w:rsidRPr="000477F3">
        <w:rPr>
          <w:rStyle w:val="hps"/>
          <w:color w:val="333333"/>
          <w:lang w:val="en-US"/>
        </w:rPr>
        <w:t>very</w:t>
      </w:r>
      <w:r w:rsidRPr="000477F3">
        <w:rPr>
          <w:color w:val="333333"/>
          <w:lang w:val="en-US"/>
        </w:rPr>
        <w:t xml:space="preserve"> </w:t>
      </w:r>
      <w:r w:rsidRPr="000477F3">
        <w:rPr>
          <w:rStyle w:val="hps"/>
          <w:color w:val="333333"/>
          <w:lang w:val="en-US"/>
        </w:rPr>
        <w:t>concentrated</w:t>
      </w:r>
      <w:r w:rsidRPr="000477F3">
        <w:rPr>
          <w:color w:val="333333"/>
          <w:lang w:val="en-US"/>
        </w:rPr>
        <w:t xml:space="preserve"> </w:t>
      </w:r>
      <w:r w:rsidRPr="000477F3">
        <w:rPr>
          <w:rStyle w:val="hps"/>
          <w:color w:val="333333"/>
          <w:lang w:val="en-US"/>
        </w:rPr>
        <w:t>in order</w:t>
      </w:r>
      <w:r w:rsidRPr="000477F3">
        <w:rPr>
          <w:color w:val="333333"/>
          <w:lang w:val="en-US"/>
        </w:rPr>
        <w:t xml:space="preserve"> </w:t>
      </w:r>
      <w:r w:rsidRPr="000477F3">
        <w:rPr>
          <w:rStyle w:val="hps"/>
          <w:color w:val="333333"/>
          <w:lang w:val="en-US"/>
        </w:rPr>
        <w:t>to prepare</w:t>
      </w:r>
      <w:r w:rsidRPr="000477F3">
        <w:rPr>
          <w:color w:val="333333"/>
          <w:lang w:val="en-US"/>
        </w:rPr>
        <w:t xml:space="preserve"> </w:t>
      </w:r>
      <w:r w:rsidRPr="000477F3">
        <w:rPr>
          <w:rStyle w:val="hps"/>
          <w:color w:val="333333"/>
          <w:lang w:val="en-US"/>
        </w:rPr>
        <w:t>all meals</w:t>
      </w:r>
      <w:r w:rsidRPr="000477F3">
        <w:rPr>
          <w:color w:val="333333"/>
          <w:lang w:val="en-US"/>
        </w:rPr>
        <w:t xml:space="preserve"> </w:t>
      </w:r>
      <w:r w:rsidRPr="000477F3">
        <w:rPr>
          <w:rStyle w:val="hps"/>
          <w:color w:val="333333"/>
          <w:lang w:val="en-US"/>
        </w:rPr>
        <w:t>provided</w:t>
      </w:r>
      <w:r w:rsidRPr="000477F3">
        <w:rPr>
          <w:color w:val="333333"/>
          <w:lang w:val="en-US"/>
        </w:rPr>
        <w:t xml:space="preserve"> </w:t>
      </w:r>
      <w:r w:rsidRPr="000477F3">
        <w:rPr>
          <w:rStyle w:val="hps"/>
          <w:color w:val="333333"/>
          <w:lang w:val="en-US"/>
        </w:rPr>
        <w:t>within the time required</w:t>
      </w:r>
      <w:r w:rsidRPr="000477F3">
        <w:rPr>
          <w:color w:val="333333"/>
          <w:lang w:val="en-US"/>
        </w:rPr>
        <w:t xml:space="preserve"> </w:t>
      </w:r>
      <w:r w:rsidRPr="000477F3">
        <w:rPr>
          <w:rStyle w:val="hps"/>
          <w:color w:val="333333"/>
          <w:lang w:val="en-US"/>
        </w:rPr>
        <w:t>by the customers</w:t>
      </w:r>
      <w:r w:rsidRPr="000477F3">
        <w:rPr>
          <w:color w:val="333333"/>
          <w:lang w:val="en-US"/>
        </w:rPr>
        <w:t>. The foodservice personnel is often young, with a very short experience and employed in a seasonal way.</w:t>
      </w:r>
    </w:p>
    <w:p w:rsidR="00825518" w:rsidRPr="000477F3" w:rsidRDefault="00825518" w:rsidP="00825518">
      <w:pPr>
        <w:pStyle w:val="Testo"/>
        <w:rPr>
          <w:lang w:val="en-US"/>
        </w:rPr>
      </w:pPr>
      <w:r w:rsidRPr="000477F3">
        <w:rPr>
          <w:rStyle w:val="hps"/>
          <w:color w:val="333333"/>
          <w:lang w:val="en-US"/>
        </w:rPr>
        <w:t>The aim</w:t>
      </w:r>
      <w:r w:rsidRPr="000477F3">
        <w:rPr>
          <w:color w:val="333333"/>
          <w:lang w:val="en-US"/>
        </w:rPr>
        <w:t xml:space="preserve"> </w:t>
      </w:r>
      <w:r w:rsidRPr="000477F3">
        <w:rPr>
          <w:rStyle w:val="hps"/>
          <w:color w:val="333333"/>
          <w:lang w:val="en-US"/>
        </w:rPr>
        <w:t>of this study</w:t>
      </w:r>
      <w:r w:rsidRPr="000477F3">
        <w:rPr>
          <w:color w:val="333333"/>
          <w:lang w:val="en-US"/>
        </w:rPr>
        <w:t xml:space="preserve"> </w:t>
      </w:r>
      <w:r w:rsidRPr="000477F3">
        <w:rPr>
          <w:rStyle w:val="hps"/>
          <w:color w:val="333333"/>
          <w:lang w:val="en-US"/>
        </w:rPr>
        <w:t>was twofold</w:t>
      </w:r>
      <w:r w:rsidRPr="000477F3">
        <w:rPr>
          <w:color w:val="333333"/>
          <w:lang w:val="en-US"/>
        </w:rPr>
        <w:t xml:space="preserve">: firstly </w:t>
      </w:r>
      <w:r w:rsidRPr="000477F3">
        <w:rPr>
          <w:rStyle w:val="hps"/>
          <w:color w:val="333333"/>
          <w:lang w:val="en-US"/>
        </w:rPr>
        <w:t>to identify the major</w:t>
      </w:r>
      <w:r w:rsidRPr="000477F3">
        <w:rPr>
          <w:color w:val="333333"/>
          <w:lang w:val="en-US"/>
        </w:rPr>
        <w:t xml:space="preserve"> </w:t>
      </w:r>
      <w:r w:rsidRPr="000477F3">
        <w:rPr>
          <w:rStyle w:val="hps"/>
          <w:color w:val="333333"/>
          <w:lang w:val="en-US"/>
        </w:rPr>
        <w:t>accidents reported</w:t>
      </w:r>
      <w:r w:rsidRPr="000477F3">
        <w:rPr>
          <w:color w:val="333333"/>
          <w:lang w:val="en-US"/>
        </w:rPr>
        <w:t xml:space="preserve"> </w:t>
      </w:r>
      <w:r w:rsidRPr="000477F3">
        <w:rPr>
          <w:rStyle w:val="hps"/>
          <w:color w:val="333333"/>
          <w:lang w:val="en-US"/>
        </w:rPr>
        <w:t>in a</w:t>
      </w:r>
      <w:r w:rsidRPr="000477F3">
        <w:rPr>
          <w:color w:val="333333"/>
          <w:lang w:val="en-US"/>
        </w:rPr>
        <w:t xml:space="preserve"> </w:t>
      </w:r>
      <w:r w:rsidRPr="000477F3">
        <w:rPr>
          <w:rStyle w:val="hps"/>
          <w:color w:val="333333"/>
          <w:lang w:val="en-US"/>
        </w:rPr>
        <w:t>catering company</w:t>
      </w:r>
      <w:r w:rsidRPr="000477F3">
        <w:rPr>
          <w:color w:val="333333"/>
          <w:lang w:val="en-US"/>
        </w:rPr>
        <w:t xml:space="preserve"> </w:t>
      </w:r>
      <w:r w:rsidRPr="000477F3">
        <w:rPr>
          <w:rStyle w:val="hps"/>
          <w:color w:val="333333"/>
          <w:lang w:val="en-US"/>
        </w:rPr>
        <w:t>in three years</w:t>
      </w:r>
      <w:r w:rsidRPr="000477F3">
        <w:rPr>
          <w:color w:val="333333"/>
          <w:lang w:val="en-US"/>
        </w:rPr>
        <w:t xml:space="preserve">, </w:t>
      </w:r>
      <w:r w:rsidRPr="000477F3">
        <w:rPr>
          <w:rStyle w:val="hps"/>
          <w:color w:val="333333"/>
          <w:lang w:val="en-US"/>
        </w:rPr>
        <w:t>the other to</w:t>
      </w:r>
      <w:r w:rsidRPr="000477F3">
        <w:rPr>
          <w:color w:val="333333"/>
          <w:lang w:val="en-US"/>
        </w:rPr>
        <w:t xml:space="preserve"> </w:t>
      </w:r>
      <w:r w:rsidRPr="000477F3">
        <w:rPr>
          <w:rStyle w:val="hps"/>
          <w:color w:val="333333"/>
          <w:lang w:val="en-US"/>
        </w:rPr>
        <w:t>present an equipment analysis methodology</w:t>
      </w:r>
      <w:r w:rsidRPr="000477F3">
        <w:rPr>
          <w:color w:val="333333"/>
          <w:lang w:val="en-US"/>
        </w:rPr>
        <w:t xml:space="preserve"> </w:t>
      </w:r>
      <w:r w:rsidRPr="000477F3">
        <w:rPr>
          <w:rStyle w:val="hps"/>
          <w:color w:val="333333"/>
          <w:lang w:val="en-US"/>
        </w:rPr>
        <w:t>in such a way</w:t>
      </w:r>
      <w:r w:rsidRPr="000477F3">
        <w:rPr>
          <w:color w:val="333333"/>
          <w:lang w:val="en-US"/>
        </w:rPr>
        <w:t xml:space="preserve"> </w:t>
      </w:r>
      <w:r w:rsidRPr="000477F3">
        <w:rPr>
          <w:rStyle w:val="hps"/>
          <w:color w:val="333333"/>
          <w:lang w:val="en-US"/>
        </w:rPr>
        <w:t>that we can provide,</w:t>
      </w:r>
      <w:r w:rsidRPr="000477F3">
        <w:rPr>
          <w:color w:val="333333"/>
          <w:lang w:val="en-US"/>
        </w:rPr>
        <w:t xml:space="preserve"> </w:t>
      </w:r>
      <w:r w:rsidRPr="000477F3">
        <w:rPr>
          <w:rStyle w:val="hps"/>
          <w:color w:val="333333"/>
          <w:lang w:val="en-US"/>
        </w:rPr>
        <w:t>to those who</w:t>
      </w:r>
      <w:r w:rsidRPr="000477F3">
        <w:rPr>
          <w:color w:val="333333"/>
          <w:lang w:val="en-US"/>
        </w:rPr>
        <w:t xml:space="preserve"> </w:t>
      </w:r>
      <w:r w:rsidRPr="000477F3">
        <w:rPr>
          <w:rStyle w:val="hps"/>
          <w:color w:val="333333"/>
          <w:lang w:val="en-US"/>
        </w:rPr>
        <w:t>must</w:t>
      </w:r>
      <w:r w:rsidRPr="000477F3">
        <w:rPr>
          <w:color w:val="333333"/>
          <w:lang w:val="en-US"/>
        </w:rPr>
        <w:t xml:space="preserve"> </w:t>
      </w:r>
      <w:r w:rsidRPr="000477F3">
        <w:rPr>
          <w:rStyle w:val="hps"/>
          <w:color w:val="333333"/>
          <w:lang w:val="en-US"/>
        </w:rPr>
        <w:t>manage them,</w:t>
      </w:r>
      <w:r w:rsidRPr="000477F3">
        <w:rPr>
          <w:color w:val="333333"/>
          <w:lang w:val="en-US"/>
        </w:rPr>
        <w:t xml:space="preserve"> </w:t>
      </w:r>
      <w:r w:rsidRPr="000477F3">
        <w:rPr>
          <w:rStyle w:val="hps"/>
          <w:color w:val="333333"/>
          <w:lang w:val="en-US"/>
        </w:rPr>
        <w:t>an approach based</w:t>
      </w:r>
      <w:r w:rsidRPr="000477F3">
        <w:rPr>
          <w:color w:val="333333"/>
          <w:lang w:val="en-US"/>
        </w:rPr>
        <w:t xml:space="preserve"> </w:t>
      </w:r>
      <w:r w:rsidRPr="000477F3">
        <w:rPr>
          <w:rStyle w:val="hps"/>
          <w:color w:val="333333"/>
          <w:lang w:val="en-US"/>
        </w:rPr>
        <w:t>on</w:t>
      </w:r>
      <w:r w:rsidRPr="000477F3">
        <w:rPr>
          <w:color w:val="333333"/>
          <w:lang w:val="en-US"/>
        </w:rPr>
        <w:t xml:space="preserve"> </w:t>
      </w:r>
      <w:r w:rsidRPr="000477F3">
        <w:rPr>
          <w:rStyle w:val="hps"/>
          <w:color w:val="333333"/>
          <w:lang w:val="en-US"/>
        </w:rPr>
        <w:t>“</w:t>
      </w:r>
      <w:r w:rsidRPr="000477F3">
        <w:rPr>
          <w:color w:val="333333"/>
          <w:lang w:val="en-US"/>
        </w:rPr>
        <w:t>risk analysis model”.</w:t>
      </w:r>
    </w:p>
    <w:p w:rsidR="00825518" w:rsidRPr="000477F3" w:rsidRDefault="00825518" w:rsidP="00825518">
      <w:pPr>
        <w:pStyle w:val="Testo"/>
        <w:rPr>
          <w:b/>
          <w:bCs/>
          <w:lang w:val="en-US"/>
        </w:rPr>
      </w:pPr>
      <w:r w:rsidRPr="000477F3">
        <w:rPr>
          <w:rStyle w:val="hps"/>
          <w:color w:val="333333"/>
          <w:lang w:val="en-US"/>
        </w:rPr>
        <w:t>Data were</w:t>
      </w:r>
      <w:r w:rsidRPr="000477F3">
        <w:rPr>
          <w:color w:val="333333"/>
          <w:lang w:val="en-US"/>
        </w:rPr>
        <w:t xml:space="preserve"> </w:t>
      </w:r>
      <w:r w:rsidRPr="000477F3">
        <w:rPr>
          <w:rStyle w:val="hps"/>
          <w:color w:val="333333"/>
          <w:lang w:val="en-US"/>
        </w:rPr>
        <w:t>collected</w:t>
      </w:r>
      <w:r w:rsidRPr="000477F3">
        <w:rPr>
          <w:color w:val="333333"/>
          <w:lang w:val="en-US"/>
        </w:rPr>
        <w:t xml:space="preserve"> </w:t>
      </w:r>
      <w:r w:rsidRPr="000477F3">
        <w:rPr>
          <w:rStyle w:val="hps"/>
          <w:color w:val="333333"/>
          <w:lang w:val="en-US"/>
        </w:rPr>
        <w:t>starting from the analysis</w:t>
      </w:r>
      <w:r w:rsidRPr="000477F3">
        <w:rPr>
          <w:color w:val="333333"/>
          <w:lang w:val="en-US"/>
        </w:rPr>
        <w:t xml:space="preserve"> </w:t>
      </w:r>
      <w:r w:rsidRPr="000477F3">
        <w:rPr>
          <w:rStyle w:val="hps"/>
          <w:color w:val="333333"/>
          <w:lang w:val="en-US"/>
        </w:rPr>
        <w:t>of all complaints</w:t>
      </w:r>
      <w:r w:rsidRPr="000477F3">
        <w:rPr>
          <w:color w:val="333333"/>
          <w:lang w:val="en-US"/>
        </w:rPr>
        <w:t xml:space="preserve"> </w:t>
      </w:r>
      <w:r w:rsidRPr="000477F3">
        <w:rPr>
          <w:rStyle w:val="hps"/>
          <w:color w:val="333333"/>
          <w:lang w:val="en-US"/>
        </w:rPr>
        <w:t>for accidents</w:t>
      </w:r>
      <w:r w:rsidRPr="000477F3">
        <w:rPr>
          <w:color w:val="333333"/>
          <w:lang w:val="en-US"/>
        </w:rPr>
        <w:t xml:space="preserve"> </w:t>
      </w:r>
      <w:r w:rsidRPr="000477F3">
        <w:rPr>
          <w:rStyle w:val="hps"/>
          <w:color w:val="333333"/>
          <w:lang w:val="en-US"/>
        </w:rPr>
        <w:t>recorded</w:t>
      </w:r>
      <w:r w:rsidRPr="000477F3">
        <w:rPr>
          <w:color w:val="333333"/>
          <w:lang w:val="en-US"/>
        </w:rPr>
        <w:t xml:space="preserve"> </w:t>
      </w:r>
      <w:r w:rsidRPr="000477F3">
        <w:rPr>
          <w:rStyle w:val="hps"/>
          <w:color w:val="333333"/>
          <w:lang w:val="en-US"/>
        </w:rPr>
        <w:t>in the three years</w:t>
      </w:r>
      <w:r w:rsidRPr="000477F3">
        <w:rPr>
          <w:color w:val="333333"/>
          <w:lang w:val="en-US"/>
        </w:rPr>
        <w:t xml:space="preserve"> </w:t>
      </w:r>
      <w:r w:rsidRPr="000477F3">
        <w:rPr>
          <w:rStyle w:val="hps"/>
          <w:color w:val="333333"/>
          <w:lang w:val="en-US"/>
        </w:rPr>
        <w:t>2006/2008</w:t>
      </w:r>
      <w:r w:rsidRPr="000477F3">
        <w:rPr>
          <w:color w:val="333333"/>
          <w:lang w:val="en-US"/>
        </w:rPr>
        <w:t xml:space="preserve"> </w:t>
      </w:r>
      <w:r w:rsidRPr="000477F3">
        <w:rPr>
          <w:rStyle w:val="hps"/>
          <w:color w:val="333333"/>
          <w:lang w:val="en-US"/>
        </w:rPr>
        <w:t>occurred in</w:t>
      </w:r>
      <w:r w:rsidRPr="000477F3">
        <w:rPr>
          <w:color w:val="333333"/>
          <w:lang w:val="en-US"/>
        </w:rPr>
        <w:t xml:space="preserve"> </w:t>
      </w:r>
      <w:r w:rsidRPr="000477F3">
        <w:rPr>
          <w:rStyle w:val="hps"/>
          <w:color w:val="333333"/>
          <w:lang w:val="en-US"/>
        </w:rPr>
        <w:t>a Catering Company.</w:t>
      </w:r>
      <w:r w:rsidRPr="000477F3">
        <w:rPr>
          <w:color w:val="333333"/>
          <w:lang w:val="en-US"/>
        </w:rPr>
        <w:t xml:space="preserve"> </w:t>
      </w:r>
      <w:r w:rsidRPr="000477F3">
        <w:rPr>
          <w:rStyle w:val="hps"/>
          <w:color w:val="333333"/>
          <w:lang w:val="en-US"/>
        </w:rPr>
        <w:t>The</w:t>
      </w:r>
      <w:r w:rsidRPr="000477F3">
        <w:rPr>
          <w:color w:val="333333"/>
          <w:lang w:val="en-US"/>
        </w:rPr>
        <w:t xml:space="preserve"> </w:t>
      </w:r>
      <w:r w:rsidRPr="000477F3">
        <w:rPr>
          <w:rStyle w:val="hps"/>
          <w:color w:val="333333"/>
          <w:lang w:val="en-US"/>
        </w:rPr>
        <w:t>details</w:t>
      </w:r>
      <w:r w:rsidRPr="000477F3">
        <w:rPr>
          <w:color w:val="333333"/>
          <w:lang w:val="en-US"/>
        </w:rPr>
        <w:t xml:space="preserve"> </w:t>
      </w:r>
      <w:r w:rsidRPr="000477F3">
        <w:rPr>
          <w:rStyle w:val="hps"/>
          <w:color w:val="333333"/>
          <w:lang w:val="en-US"/>
        </w:rPr>
        <w:t>were then</w:t>
      </w:r>
      <w:r w:rsidRPr="000477F3">
        <w:rPr>
          <w:color w:val="333333"/>
          <w:lang w:val="en-US"/>
        </w:rPr>
        <w:t xml:space="preserve"> </w:t>
      </w:r>
      <w:r w:rsidRPr="000477F3">
        <w:rPr>
          <w:rStyle w:val="hps"/>
          <w:color w:val="333333"/>
          <w:lang w:val="en-US"/>
        </w:rPr>
        <w:t>divided</w:t>
      </w:r>
      <w:r w:rsidRPr="000477F3">
        <w:rPr>
          <w:color w:val="333333"/>
          <w:lang w:val="en-US"/>
        </w:rPr>
        <w:t xml:space="preserve"> </w:t>
      </w:r>
      <w:r w:rsidRPr="000477F3">
        <w:rPr>
          <w:rStyle w:val="hps"/>
          <w:color w:val="333333"/>
          <w:lang w:val="en-US"/>
        </w:rPr>
        <w:t>according</w:t>
      </w:r>
      <w:r w:rsidRPr="000477F3">
        <w:rPr>
          <w:color w:val="333333"/>
          <w:lang w:val="en-US"/>
        </w:rPr>
        <w:t xml:space="preserve"> </w:t>
      </w:r>
      <w:r w:rsidRPr="000477F3">
        <w:rPr>
          <w:rStyle w:val="hps"/>
          <w:color w:val="333333"/>
          <w:lang w:val="en-US"/>
        </w:rPr>
        <w:t>to</w:t>
      </w:r>
      <w:r w:rsidRPr="000477F3">
        <w:rPr>
          <w:color w:val="333333"/>
          <w:lang w:val="en-US"/>
        </w:rPr>
        <w:t xml:space="preserve"> </w:t>
      </w:r>
      <w:r w:rsidRPr="000477F3">
        <w:rPr>
          <w:rStyle w:val="hps"/>
          <w:color w:val="333333"/>
          <w:lang w:val="en-US"/>
        </w:rPr>
        <w:t>type of injury suffered</w:t>
      </w:r>
      <w:r w:rsidRPr="000477F3">
        <w:rPr>
          <w:color w:val="333333"/>
          <w:lang w:val="en-US"/>
        </w:rPr>
        <w:t xml:space="preserve"> </w:t>
      </w:r>
      <w:r w:rsidRPr="000477F3">
        <w:rPr>
          <w:rStyle w:val="hps"/>
          <w:color w:val="333333"/>
          <w:lang w:val="en-US"/>
        </w:rPr>
        <w:t>by the worker</w:t>
      </w:r>
      <w:r w:rsidRPr="000477F3">
        <w:rPr>
          <w:color w:val="333333"/>
          <w:lang w:val="en-US"/>
        </w:rPr>
        <w:t xml:space="preserve">, </w:t>
      </w:r>
      <w:r w:rsidRPr="000477F3">
        <w:rPr>
          <w:rStyle w:val="hps"/>
          <w:color w:val="333333"/>
          <w:lang w:val="en-US"/>
        </w:rPr>
        <w:t>the place</w:t>
      </w:r>
      <w:r w:rsidRPr="000477F3">
        <w:rPr>
          <w:color w:val="333333"/>
          <w:lang w:val="en-US"/>
        </w:rPr>
        <w:t xml:space="preserve"> </w:t>
      </w:r>
      <w:r w:rsidRPr="000477F3">
        <w:rPr>
          <w:rStyle w:val="hps"/>
          <w:color w:val="333333"/>
          <w:lang w:val="en-US"/>
        </w:rPr>
        <w:t>where</w:t>
      </w:r>
      <w:r w:rsidRPr="000477F3">
        <w:rPr>
          <w:color w:val="333333"/>
          <w:lang w:val="en-US"/>
        </w:rPr>
        <w:t xml:space="preserve"> </w:t>
      </w:r>
      <w:r w:rsidRPr="000477F3">
        <w:rPr>
          <w:rStyle w:val="hps"/>
          <w:color w:val="333333"/>
          <w:lang w:val="en-US"/>
        </w:rPr>
        <w:t>the accident occurred, the days of</w:t>
      </w:r>
      <w:r w:rsidRPr="000477F3">
        <w:rPr>
          <w:color w:val="333333"/>
          <w:lang w:val="en-US"/>
        </w:rPr>
        <w:t xml:space="preserve"> </w:t>
      </w:r>
      <w:r w:rsidRPr="000477F3">
        <w:rPr>
          <w:rStyle w:val="hps"/>
          <w:color w:val="333333"/>
          <w:lang w:val="en-US"/>
        </w:rPr>
        <w:t>prognosis</w:t>
      </w:r>
      <w:r w:rsidRPr="000477F3">
        <w:rPr>
          <w:color w:val="333333"/>
          <w:lang w:val="en-US"/>
        </w:rPr>
        <w:t xml:space="preserve"> </w:t>
      </w:r>
      <w:r w:rsidRPr="000477F3">
        <w:rPr>
          <w:rStyle w:val="hps"/>
          <w:color w:val="333333"/>
          <w:lang w:val="en-US"/>
        </w:rPr>
        <w:t>and possibly</w:t>
      </w:r>
      <w:r w:rsidRPr="000477F3">
        <w:rPr>
          <w:color w:val="333333"/>
          <w:lang w:val="en-US"/>
        </w:rPr>
        <w:t xml:space="preserve"> </w:t>
      </w:r>
      <w:r w:rsidRPr="000477F3">
        <w:rPr>
          <w:rStyle w:val="hps"/>
          <w:color w:val="333333"/>
          <w:lang w:val="en-US"/>
        </w:rPr>
        <w:t>the equipment</w:t>
      </w:r>
      <w:r w:rsidRPr="000477F3">
        <w:rPr>
          <w:color w:val="333333"/>
          <w:lang w:val="en-US"/>
        </w:rPr>
        <w:t xml:space="preserve"> </w:t>
      </w:r>
      <w:r w:rsidRPr="000477F3">
        <w:rPr>
          <w:rStyle w:val="hps"/>
          <w:color w:val="333333"/>
          <w:lang w:val="en-US"/>
        </w:rPr>
        <w:t>that caused</w:t>
      </w:r>
      <w:r w:rsidRPr="000477F3">
        <w:rPr>
          <w:color w:val="333333"/>
          <w:lang w:val="en-US"/>
        </w:rPr>
        <w:t xml:space="preserve"> </w:t>
      </w:r>
      <w:r w:rsidRPr="000477F3">
        <w:rPr>
          <w:rStyle w:val="hps"/>
          <w:color w:val="333333"/>
          <w:lang w:val="en-US"/>
        </w:rPr>
        <w:t>the damage</w:t>
      </w:r>
      <w:r w:rsidRPr="000477F3">
        <w:rPr>
          <w:color w:val="333333"/>
          <w:lang w:val="en-US"/>
        </w:rPr>
        <w:t xml:space="preserve">. </w:t>
      </w:r>
      <w:r w:rsidRPr="000477F3">
        <w:rPr>
          <w:rStyle w:val="hps"/>
          <w:color w:val="333333"/>
          <w:lang w:val="en-US"/>
        </w:rPr>
        <w:t>Through</w:t>
      </w:r>
      <w:r w:rsidRPr="000477F3">
        <w:rPr>
          <w:color w:val="333333"/>
          <w:lang w:val="en-US"/>
        </w:rPr>
        <w:t xml:space="preserve"> </w:t>
      </w:r>
      <w:r w:rsidRPr="000477F3">
        <w:rPr>
          <w:rStyle w:val="hps"/>
          <w:color w:val="333333"/>
          <w:lang w:val="en-US"/>
        </w:rPr>
        <w:t>the objective analysis</w:t>
      </w:r>
      <w:r w:rsidRPr="000477F3">
        <w:rPr>
          <w:color w:val="333333"/>
          <w:lang w:val="en-US"/>
        </w:rPr>
        <w:t xml:space="preserve"> </w:t>
      </w:r>
      <w:r w:rsidRPr="000477F3">
        <w:rPr>
          <w:rStyle w:val="hps"/>
          <w:color w:val="333333"/>
          <w:lang w:val="en-US"/>
        </w:rPr>
        <w:t>of these</w:t>
      </w:r>
      <w:r w:rsidRPr="000477F3">
        <w:rPr>
          <w:color w:val="333333"/>
          <w:lang w:val="en-US"/>
        </w:rPr>
        <w:t xml:space="preserve"> </w:t>
      </w:r>
      <w:r w:rsidRPr="000477F3">
        <w:rPr>
          <w:rStyle w:val="hps"/>
          <w:color w:val="333333"/>
          <w:lang w:val="en-US"/>
        </w:rPr>
        <w:t>data were</w:t>
      </w:r>
      <w:r w:rsidRPr="000477F3">
        <w:rPr>
          <w:color w:val="333333"/>
          <w:lang w:val="en-US"/>
        </w:rPr>
        <w:t xml:space="preserve"> </w:t>
      </w:r>
      <w:r w:rsidRPr="000477F3">
        <w:rPr>
          <w:rStyle w:val="hps"/>
          <w:color w:val="333333"/>
          <w:lang w:val="en-US"/>
        </w:rPr>
        <w:t>constructed</w:t>
      </w:r>
      <w:r w:rsidRPr="000477F3">
        <w:rPr>
          <w:color w:val="333333"/>
          <w:lang w:val="en-US"/>
        </w:rPr>
        <w:t xml:space="preserve"> </w:t>
      </w:r>
      <w:r w:rsidRPr="000477F3">
        <w:rPr>
          <w:rStyle w:val="hps"/>
          <w:color w:val="333333"/>
          <w:lang w:val="en-US"/>
        </w:rPr>
        <w:t>graphs</w:t>
      </w:r>
      <w:r w:rsidRPr="000477F3">
        <w:rPr>
          <w:color w:val="333333"/>
          <w:lang w:val="en-US"/>
        </w:rPr>
        <w:t xml:space="preserve"> </w:t>
      </w:r>
      <w:r w:rsidRPr="000477F3">
        <w:rPr>
          <w:rStyle w:val="hps"/>
          <w:color w:val="333333"/>
          <w:lang w:val="en-US"/>
        </w:rPr>
        <w:t>for equipment</w:t>
      </w:r>
      <w:r w:rsidRPr="000477F3">
        <w:rPr>
          <w:color w:val="333333"/>
          <w:lang w:val="en-US"/>
        </w:rPr>
        <w:t xml:space="preserve"> </w:t>
      </w:r>
      <w:r w:rsidRPr="000477F3">
        <w:rPr>
          <w:rStyle w:val="hps"/>
          <w:color w:val="333333"/>
          <w:lang w:val="en-US"/>
        </w:rPr>
        <w:t>deemed most</w:t>
      </w:r>
      <w:r w:rsidRPr="000477F3">
        <w:rPr>
          <w:color w:val="333333"/>
          <w:lang w:val="en-US"/>
        </w:rPr>
        <w:t xml:space="preserve"> </w:t>
      </w:r>
      <w:r w:rsidRPr="000477F3">
        <w:rPr>
          <w:rStyle w:val="hps"/>
          <w:color w:val="333333"/>
          <w:lang w:val="en-US"/>
        </w:rPr>
        <w:t>dangerous</w:t>
      </w:r>
      <w:r w:rsidRPr="000477F3">
        <w:rPr>
          <w:color w:val="333333"/>
          <w:lang w:val="en-US"/>
        </w:rPr>
        <w:t xml:space="preserve"> </w:t>
      </w:r>
      <w:r w:rsidRPr="000477F3">
        <w:rPr>
          <w:rStyle w:val="hps"/>
          <w:color w:val="333333"/>
          <w:lang w:val="en-US"/>
        </w:rPr>
        <w:t>by relating</w:t>
      </w:r>
      <w:r w:rsidRPr="000477F3">
        <w:rPr>
          <w:color w:val="333333"/>
          <w:lang w:val="en-US"/>
        </w:rPr>
        <w:t xml:space="preserve"> </w:t>
      </w:r>
      <w:r w:rsidRPr="000477F3">
        <w:rPr>
          <w:rStyle w:val="hps"/>
          <w:color w:val="333333"/>
          <w:lang w:val="en-US"/>
        </w:rPr>
        <w:t>the severity</w:t>
      </w:r>
      <w:r w:rsidRPr="000477F3">
        <w:rPr>
          <w:color w:val="333333"/>
          <w:lang w:val="en-US"/>
        </w:rPr>
        <w:t xml:space="preserve"> </w:t>
      </w:r>
      <w:r w:rsidRPr="000477F3">
        <w:rPr>
          <w:rStyle w:val="hps"/>
          <w:color w:val="333333"/>
          <w:lang w:val="en-US"/>
        </w:rPr>
        <w:t>of the damage with</w:t>
      </w:r>
      <w:r w:rsidRPr="000477F3">
        <w:rPr>
          <w:color w:val="333333"/>
          <w:lang w:val="en-US"/>
        </w:rPr>
        <w:t xml:space="preserve"> </w:t>
      </w:r>
      <w:r w:rsidRPr="000477F3">
        <w:rPr>
          <w:rStyle w:val="hps"/>
          <w:color w:val="333333"/>
          <w:lang w:val="en-US"/>
        </w:rPr>
        <w:t>the probability</w:t>
      </w:r>
      <w:r w:rsidRPr="000477F3">
        <w:rPr>
          <w:color w:val="333333"/>
          <w:lang w:val="en-US"/>
        </w:rPr>
        <w:t xml:space="preserve"> </w:t>
      </w:r>
      <w:r w:rsidRPr="000477F3">
        <w:rPr>
          <w:rStyle w:val="hps"/>
          <w:color w:val="333333"/>
          <w:lang w:val="en-US"/>
        </w:rPr>
        <w:t>(risk</w:t>
      </w:r>
      <w:r w:rsidRPr="000477F3">
        <w:rPr>
          <w:color w:val="333333"/>
          <w:lang w:val="en-US"/>
        </w:rPr>
        <w:t xml:space="preserve"> </w:t>
      </w:r>
      <w:r w:rsidRPr="000477F3">
        <w:rPr>
          <w:rStyle w:val="hps"/>
          <w:color w:val="333333"/>
          <w:lang w:val="en-US"/>
        </w:rPr>
        <w:t>analysis</w:t>
      </w:r>
      <w:r w:rsidRPr="000477F3">
        <w:rPr>
          <w:color w:val="333333"/>
          <w:lang w:val="en-US"/>
        </w:rPr>
        <w:t xml:space="preserve"> </w:t>
      </w:r>
      <w:r w:rsidRPr="000477F3">
        <w:rPr>
          <w:rStyle w:val="hps"/>
          <w:color w:val="333333"/>
          <w:lang w:val="en-US"/>
        </w:rPr>
        <w:t>model</w:t>
      </w:r>
      <w:r w:rsidRPr="000477F3">
        <w:rPr>
          <w:color w:val="333333"/>
          <w:lang w:val="en-US"/>
        </w:rPr>
        <w:t xml:space="preserve">): </w:t>
      </w:r>
      <w:r w:rsidRPr="000477F3">
        <w:rPr>
          <w:rStyle w:val="hps"/>
          <w:color w:val="333333"/>
          <w:lang w:val="en-US"/>
        </w:rPr>
        <w:t>then actions to be taken</w:t>
      </w:r>
      <w:r w:rsidRPr="000477F3">
        <w:rPr>
          <w:color w:val="333333"/>
          <w:lang w:val="en-US"/>
        </w:rPr>
        <w:t xml:space="preserve"> </w:t>
      </w:r>
      <w:r w:rsidRPr="000477F3">
        <w:rPr>
          <w:rStyle w:val="hps"/>
          <w:color w:val="333333"/>
          <w:lang w:val="en-US"/>
        </w:rPr>
        <w:t>in order to</w:t>
      </w:r>
      <w:r w:rsidRPr="000477F3">
        <w:rPr>
          <w:color w:val="333333"/>
          <w:lang w:val="en-US"/>
        </w:rPr>
        <w:t xml:space="preserve"> </w:t>
      </w:r>
      <w:r w:rsidRPr="000477F3">
        <w:rPr>
          <w:rStyle w:val="hps"/>
          <w:color w:val="333333"/>
          <w:lang w:val="en-US"/>
        </w:rPr>
        <w:t>manage</w:t>
      </w:r>
      <w:r w:rsidRPr="000477F3">
        <w:rPr>
          <w:color w:val="333333"/>
          <w:lang w:val="en-US"/>
        </w:rPr>
        <w:t xml:space="preserve"> </w:t>
      </w:r>
      <w:r w:rsidRPr="000477F3">
        <w:rPr>
          <w:rStyle w:val="hps"/>
          <w:color w:val="333333"/>
          <w:lang w:val="en-US"/>
        </w:rPr>
        <w:t>equipment safely were</w:t>
      </w:r>
      <w:r w:rsidRPr="000477F3">
        <w:rPr>
          <w:color w:val="333333"/>
          <w:lang w:val="en-US"/>
        </w:rPr>
        <w:t xml:space="preserve"> </w:t>
      </w:r>
      <w:r w:rsidRPr="000477F3">
        <w:rPr>
          <w:rStyle w:val="hps"/>
          <w:color w:val="333333"/>
          <w:lang w:val="en-US"/>
        </w:rPr>
        <w:t>identified</w:t>
      </w:r>
      <w:r w:rsidRPr="000477F3">
        <w:rPr>
          <w:color w:val="333333"/>
          <w:lang w:val="en-US"/>
        </w:rPr>
        <w:t>.</w:t>
      </w:r>
    </w:p>
    <w:p w:rsidR="00602D41" w:rsidRPr="000477F3" w:rsidRDefault="00602D41" w:rsidP="00093B6F">
      <w:pPr>
        <w:spacing w:after="0" w:line="240" w:lineRule="auto"/>
        <w:rPr>
          <w:rFonts w:ascii="Times New Roman" w:hAnsi="Times New Roman" w:cs="Times New Roman"/>
          <w:sz w:val="24"/>
          <w:szCs w:val="24"/>
          <w:lang w:val="en-US" w:eastAsia="it-IT"/>
        </w:rPr>
      </w:pPr>
    </w:p>
    <w:p w:rsidR="00590183" w:rsidRPr="000477F3" w:rsidRDefault="00602D41" w:rsidP="00093B6F">
      <w:pPr>
        <w:pStyle w:val="Parolechiave"/>
        <w:spacing w:before="0"/>
        <w:rPr>
          <w:i w:val="0"/>
          <w:lang w:val="en-US"/>
        </w:rPr>
      </w:pPr>
      <w:r w:rsidRPr="000477F3">
        <w:rPr>
          <w:b/>
          <w:i w:val="0"/>
          <w:lang w:val="en-US"/>
        </w:rPr>
        <w:t>Keywords</w:t>
      </w:r>
      <w:r w:rsidRPr="000477F3">
        <w:rPr>
          <w:i w:val="0"/>
          <w:lang w:val="en-US"/>
        </w:rPr>
        <w:t>: risk analysis model, catering, accident</w:t>
      </w:r>
    </w:p>
    <w:p w:rsidR="00590183" w:rsidRPr="000477F3" w:rsidRDefault="00590183" w:rsidP="00093B6F">
      <w:pPr>
        <w:pStyle w:val="Titoloparagrafo"/>
        <w:spacing w:before="0"/>
        <w:rPr>
          <w:lang w:val="en-US"/>
        </w:rPr>
      </w:pPr>
    </w:p>
    <w:p w:rsidR="00590183" w:rsidRPr="000477F3" w:rsidRDefault="00590183" w:rsidP="00093B6F">
      <w:pPr>
        <w:spacing w:after="0" w:line="240" w:lineRule="auto"/>
        <w:rPr>
          <w:rFonts w:ascii="Times New Roman" w:hAnsi="Times New Roman" w:cs="Times New Roman"/>
          <w:b/>
          <w:sz w:val="24"/>
          <w:szCs w:val="24"/>
          <w:lang w:val="en-US" w:eastAsia="it-IT"/>
        </w:rPr>
      </w:pPr>
      <w:r w:rsidRPr="000477F3">
        <w:rPr>
          <w:rFonts w:ascii="Times New Roman" w:hAnsi="Times New Roman" w:cs="Times New Roman"/>
          <w:b/>
          <w:sz w:val="24"/>
          <w:szCs w:val="24"/>
          <w:lang w:val="en-US" w:eastAsia="it-IT"/>
        </w:rPr>
        <w:t>Introduction</w:t>
      </w:r>
    </w:p>
    <w:p w:rsidR="00F03A4F" w:rsidRPr="000477F3" w:rsidRDefault="00F03A4F" w:rsidP="00093B6F">
      <w:pPr>
        <w:pStyle w:val="Testo"/>
        <w:rPr>
          <w:rStyle w:val="hps"/>
          <w:color w:val="333333"/>
          <w:lang w:val="en-US"/>
        </w:rPr>
      </w:pPr>
    </w:p>
    <w:p w:rsidR="00554527" w:rsidRPr="000477F3" w:rsidRDefault="00554527" w:rsidP="00093B6F">
      <w:pPr>
        <w:pStyle w:val="Testo"/>
        <w:rPr>
          <w:color w:val="333333"/>
          <w:lang w:val="en-US"/>
        </w:rPr>
      </w:pPr>
      <w:r w:rsidRPr="000477F3">
        <w:rPr>
          <w:rStyle w:val="hps"/>
          <w:color w:val="333333"/>
          <w:lang w:val="en-US"/>
        </w:rPr>
        <w:t>The last ten</w:t>
      </w:r>
      <w:r w:rsidRPr="000477F3">
        <w:rPr>
          <w:color w:val="333333"/>
          <w:lang w:val="en-US"/>
        </w:rPr>
        <w:t xml:space="preserve"> </w:t>
      </w:r>
      <w:r w:rsidRPr="000477F3">
        <w:rPr>
          <w:rStyle w:val="hps"/>
          <w:color w:val="333333"/>
          <w:lang w:val="en-US"/>
        </w:rPr>
        <w:t>years have</w:t>
      </w:r>
      <w:r w:rsidRPr="000477F3">
        <w:rPr>
          <w:color w:val="333333"/>
          <w:lang w:val="en-US"/>
        </w:rPr>
        <w:t xml:space="preserve"> </w:t>
      </w:r>
      <w:r w:rsidRPr="000477F3">
        <w:rPr>
          <w:rStyle w:val="hps"/>
          <w:color w:val="333333"/>
          <w:lang w:val="en-US"/>
        </w:rPr>
        <w:t>been for</w:t>
      </w:r>
      <w:r w:rsidRPr="000477F3">
        <w:rPr>
          <w:color w:val="333333"/>
          <w:lang w:val="en-US"/>
        </w:rPr>
        <w:t xml:space="preserve"> </w:t>
      </w:r>
      <w:r w:rsidRPr="000477F3">
        <w:rPr>
          <w:rStyle w:val="hps"/>
          <w:color w:val="333333"/>
          <w:lang w:val="en-US"/>
        </w:rPr>
        <w:t>the catering</w:t>
      </w:r>
      <w:r w:rsidRPr="000477F3">
        <w:rPr>
          <w:color w:val="333333"/>
          <w:lang w:val="en-US"/>
        </w:rPr>
        <w:t xml:space="preserve"> </w:t>
      </w:r>
      <w:r w:rsidRPr="000477F3">
        <w:rPr>
          <w:rStyle w:val="hps"/>
          <w:color w:val="333333"/>
          <w:lang w:val="en-US"/>
        </w:rPr>
        <w:t>at</w:t>
      </w:r>
      <w:r w:rsidRPr="000477F3">
        <w:rPr>
          <w:color w:val="333333"/>
          <w:lang w:val="en-US"/>
        </w:rPr>
        <w:t xml:space="preserve"> </w:t>
      </w:r>
      <w:r w:rsidRPr="000477F3">
        <w:rPr>
          <w:rStyle w:val="hps"/>
          <w:color w:val="333333"/>
          <w:lang w:val="en-US"/>
        </w:rPr>
        <w:t>a</w:t>
      </w:r>
      <w:r w:rsidRPr="000477F3">
        <w:rPr>
          <w:color w:val="333333"/>
          <w:lang w:val="en-US"/>
        </w:rPr>
        <w:t xml:space="preserve"> </w:t>
      </w:r>
      <w:r w:rsidRPr="000477F3">
        <w:rPr>
          <w:rStyle w:val="hps"/>
          <w:color w:val="333333"/>
          <w:lang w:val="en-US"/>
        </w:rPr>
        <w:t>remarkable growth</w:t>
      </w:r>
      <w:r w:rsidRPr="000477F3">
        <w:rPr>
          <w:rStyle w:val="atn"/>
          <w:color w:val="333333"/>
          <w:lang w:val="en-US"/>
        </w:rPr>
        <w:t>: "</w:t>
      </w:r>
      <w:r w:rsidRPr="000477F3">
        <w:rPr>
          <w:color w:val="333333"/>
          <w:lang w:val="en-US"/>
        </w:rPr>
        <w:t xml:space="preserve">eating out" </w:t>
      </w:r>
      <w:r w:rsidRPr="000477F3">
        <w:rPr>
          <w:rStyle w:val="hps"/>
          <w:color w:val="333333"/>
          <w:lang w:val="en-US"/>
        </w:rPr>
        <w:t>is</w:t>
      </w:r>
      <w:r w:rsidRPr="000477F3">
        <w:rPr>
          <w:color w:val="333333"/>
          <w:lang w:val="en-US"/>
        </w:rPr>
        <w:t xml:space="preserve"> </w:t>
      </w:r>
      <w:r w:rsidRPr="000477F3">
        <w:rPr>
          <w:rStyle w:val="hps"/>
          <w:color w:val="333333"/>
          <w:lang w:val="en-US"/>
        </w:rPr>
        <w:t>now a growing</w:t>
      </w:r>
      <w:r w:rsidRPr="000477F3">
        <w:rPr>
          <w:color w:val="333333"/>
          <w:lang w:val="en-US"/>
        </w:rPr>
        <w:t xml:space="preserve"> </w:t>
      </w:r>
      <w:r w:rsidRPr="000477F3">
        <w:rPr>
          <w:rStyle w:val="hps"/>
          <w:color w:val="333333"/>
          <w:lang w:val="en-US"/>
        </w:rPr>
        <w:t>habit for common</w:t>
      </w:r>
      <w:r w:rsidRPr="000477F3">
        <w:rPr>
          <w:color w:val="333333"/>
          <w:lang w:val="en-US"/>
        </w:rPr>
        <w:t xml:space="preserve"> </w:t>
      </w:r>
      <w:r w:rsidRPr="000477F3">
        <w:rPr>
          <w:rStyle w:val="hps"/>
          <w:color w:val="333333"/>
          <w:lang w:val="en-US"/>
        </w:rPr>
        <w:t>food style</w:t>
      </w:r>
      <w:r w:rsidRPr="000477F3">
        <w:rPr>
          <w:color w:val="333333"/>
          <w:lang w:val="en-US"/>
        </w:rPr>
        <w:t xml:space="preserve">. </w:t>
      </w:r>
      <w:r w:rsidRPr="000477F3">
        <w:rPr>
          <w:rStyle w:val="hps"/>
          <w:color w:val="333333"/>
          <w:lang w:val="en-US"/>
        </w:rPr>
        <w:t>The</w:t>
      </w:r>
      <w:r w:rsidRPr="000477F3">
        <w:rPr>
          <w:color w:val="333333"/>
          <w:lang w:val="en-US"/>
        </w:rPr>
        <w:t xml:space="preserve"> foodservice centers, </w:t>
      </w:r>
      <w:r w:rsidRPr="000477F3">
        <w:rPr>
          <w:rStyle w:val="hps"/>
          <w:color w:val="333333"/>
          <w:lang w:val="en-US"/>
        </w:rPr>
        <w:t>consequently</w:t>
      </w:r>
      <w:r w:rsidRPr="000477F3">
        <w:rPr>
          <w:color w:val="333333"/>
          <w:lang w:val="en-US"/>
        </w:rPr>
        <w:t xml:space="preserve">, </w:t>
      </w:r>
      <w:r w:rsidRPr="000477F3">
        <w:rPr>
          <w:rStyle w:val="hps"/>
          <w:color w:val="333333"/>
          <w:lang w:val="en-US"/>
        </w:rPr>
        <w:t>increased their</w:t>
      </w:r>
      <w:r w:rsidRPr="000477F3">
        <w:rPr>
          <w:color w:val="333333"/>
          <w:lang w:val="en-US"/>
        </w:rPr>
        <w:t xml:space="preserve"> </w:t>
      </w:r>
      <w:r w:rsidRPr="000477F3">
        <w:rPr>
          <w:rStyle w:val="hps"/>
          <w:color w:val="333333"/>
          <w:lang w:val="en-US"/>
        </w:rPr>
        <w:t>performance by increasing</w:t>
      </w:r>
      <w:r w:rsidRPr="000477F3">
        <w:rPr>
          <w:color w:val="333333"/>
          <w:lang w:val="en-US"/>
        </w:rPr>
        <w:t xml:space="preserve"> </w:t>
      </w:r>
      <w:r w:rsidRPr="000477F3">
        <w:rPr>
          <w:rStyle w:val="hps"/>
          <w:color w:val="333333"/>
          <w:lang w:val="en-US"/>
        </w:rPr>
        <w:t>productivity and</w:t>
      </w:r>
      <w:r w:rsidRPr="000477F3">
        <w:rPr>
          <w:color w:val="333333"/>
          <w:lang w:val="en-US"/>
        </w:rPr>
        <w:t xml:space="preserve"> </w:t>
      </w:r>
      <w:r w:rsidRPr="000477F3">
        <w:rPr>
          <w:rStyle w:val="hps"/>
          <w:color w:val="333333"/>
          <w:lang w:val="en-US"/>
        </w:rPr>
        <w:t>the technological level</w:t>
      </w:r>
      <w:r w:rsidRPr="000477F3">
        <w:rPr>
          <w:color w:val="333333"/>
          <w:lang w:val="en-US"/>
        </w:rPr>
        <w:t xml:space="preserve"> </w:t>
      </w:r>
      <w:r w:rsidRPr="000477F3">
        <w:rPr>
          <w:rStyle w:val="hps"/>
          <w:color w:val="333333"/>
          <w:lang w:val="en-US"/>
        </w:rPr>
        <w:t>but,</w:t>
      </w:r>
      <w:r w:rsidRPr="000477F3">
        <w:rPr>
          <w:color w:val="333333"/>
          <w:lang w:val="en-US"/>
        </w:rPr>
        <w:t xml:space="preserve"> </w:t>
      </w:r>
      <w:r w:rsidRPr="000477F3">
        <w:rPr>
          <w:rStyle w:val="hps"/>
          <w:color w:val="333333"/>
          <w:lang w:val="en-US"/>
        </w:rPr>
        <w:t>at the same time,</w:t>
      </w:r>
      <w:r w:rsidRPr="000477F3">
        <w:rPr>
          <w:color w:val="333333"/>
          <w:lang w:val="en-US"/>
        </w:rPr>
        <w:t xml:space="preserve"> </w:t>
      </w:r>
      <w:r w:rsidRPr="000477F3">
        <w:rPr>
          <w:rStyle w:val="hps"/>
          <w:color w:val="333333"/>
          <w:lang w:val="en-US"/>
        </w:rPr>
        <w:t>still represent</w:t>
      </w:r>
      <w:r w:rsidRPr="000477F3">
        <w:rPr>
          <w:color w:val="333333"/>
          <w:lang w:val="en-US"/>
        </w:rPr>
        <w:t xml:space="preserve"> </w:t>
      </w:r>
      <w:r w:rsidRPr="000477F3">
        <w:rPr>
          <w:rStyle w:val="hps"/>
          <w:color w:val="333333"/>
          <w:lang w:val="en-US"/>
        </w:rPr>
        <w:t>a context where</w:t>
      </w:r>
      <w:r w:rsidRPr="000477F3">
        <w:rPr>
          <w:color w:val="333333"/>
          <w:lang w:val="en-US"/>
        </w:rPr>
        <w:t xml:space="preserve"> </w:t>
      </w:r>
      <w:r w:rsidRPr="000477F3">
        <w:rPr>
          <w:rStyle w:val="hps"/>
          <w:color w:val="333333"/>
          <w:lang w:val="en-US"/>
        </w:rPr>
        <w:t>worker safety</w:t>
      </w:r>
      <w:r w:rsidRPr="000477F3">
        <w:rPr>
          <w:color w:val="333333"/>
          <w:lang w:val="en-US"/>
        </w:rPr>
        <w:t xml:space="preserve"> </w:t>
      </w:r>
      <w:r w:rsidRPr="000477F3">
        <w:rPr>
          <w:rStyle w:val="hps"/>
          <w:color w:val="333333"/>
          <w:lang w:val="en-US"/>
        </w:rPr>
        <w:t>is put</w:t>
      </w:r>
      <w:r w:rsidRPr="000477F3">
        <w:rPr>
          <w:color w:val="333333"/>
          <w:lang w:val="en-US"/>
        </w:rPr>
        <w:t xml:space="preserve"> </w:t>
      </w:r>
      <w:r w:rsidRPr="000477F3">
        <w:rPr>
          <w:rStyle w:val="hps"/>
          <w:color w:val="333333"/>
          <w:lang w:val="en-US"/>
        </w:rPr>
        <w:t>at great risk</w:t>
      </w:r>
      <w:r w:rsidRPr="000477F3">
        <w:rPr>
          <w:color w:val="333333"/>
          <w:lang w:val="en-US"/>
        </w:rPr>
        <w:t xml:space="preserve"> </w:t>
      </w:r>
      <w:r w:rsidRPr="000477F3">
        <w:rPr>
          <w:rStyle w:val="hps"/>
          <w:color w:val="333333"/>
          <w:lang w:val="en-US"/>
        </w:rPr>
        <w:t>because</w:t>
      </w:r>
      <w:r w:rsidRPr="000477F3">
        <w:rPr>
          <w:color w:val="333333"/>
          <w:lang w:val="en-US"/>
        </w:rPr>
        <w:t xml:space="preserve">, </w:t>
      </w:r>
      <w:r w:rsidRPr="000477F3">
        <w:rPr>
          <w:rStyle w:val="hps"/>
          <w:color w:val="333333"/>
          <w:lang w:val="en-US"/>
        </w:rPr>
        <w:t>especially in the expressed</w:t>
      </w:r>
      <w:r w:rsidRPr="000477F3">
        <w:rPr>
          <w:color w:val="333333"/>
          <w:lang w:val="en-US"/>
        </w:rPr>
        <w:t xml:space="preserve"> </w:t>
      </w:r>
      <w:r w:rsidRPr="000477F3">
        <w:rPr>
          <w:rStyle w:val="hps"/>
          <w:color w:val="333333"/>
          <w:lang w:val="en-US"/>
        </w:rPr>
        <w:t>productive</w:t>
      </w:r>
      <w:r w:rsidRPr="000477F3">
        <w:rPr>
          <w:color w:val="333333"/>
          <w:lang w:val="en-US"/>
        </w:rPr>
        <w:t xml:space="preserve"> organization </w:t>
      </w:r>
      <w:r w:rsidRPr="000477F3">
        <w:rPr>
          <w:rStyle w:val="hps"/>
          <w:color w:val="333333"/>
          <w:lang w:val="en-US"/>
        </w:rPr>
        <w:t>(</w:t>
      </w:r>
      <w:r w:rsidRPr="000477F3">
        <w:rPr>
          <w:color w:val="333333"/>
          <w:lang w:val="en-US"/>
        </w:rPr>
        <w:t xml:space="preserve">the so-called </w:t>
      </w:r>
      <w:r w:rsidRPr="000477F3">
        <w:rPr>
          <w:rStyle w:val="hps"/>
          <w:color w:val="333333"/>
          <w:lang w:val="en-US"/>
        </w:rPr>
        <w:t>fresh</w:t>
      </w:r>
      <w:r w:rsidRPr="000477F3">
        <w:rPr>
          <w:rStyle w:val="atn"/>
          <w:color w:val="333333"/>
          <w:lang w:val="en-US"/>
        </w:rPr>
        <w:t>-</w:t>
      </w:r>
      <w:r w:rsidRPr="000477F3">
        <w:rPr>
          <w:rStyle w:val="hps"/>
          <w:color w:val="333333"/>
          <w:lang w:val="en-US"/>
        </w:rPr>
        <w:t>hot link)</w:t>
      </w:r>
      <w:r w:rsidRPr="000477F3">
        <w:rPr>
          <w:color w:val="333333"/>
          <w:lang w:val="en-US"/>
        </w:rPr>
        <w:t xml:space="preserve">, the times are </w:t>
      </w:r>
      <w:r w:rsidRPr="000477F3">
        <w:rPr>
          <w:rStyle w:val="hps"/>
          <w:color w:val="333333"/>
          <w:lang w:val="en-US"/>
        </w:rPr>
        <w:t>very</w:t>
      </w:r>
      <w:r w:rsidRPr="000477F3">
        <w:rPr>
          <w:color w:val="333333"/>
          <w:lang w:val="en-US"/>
        </w:rPr>
        <w:t xml:space="preserve"> </w:t>
      </w:r>
      <w:r w:rsidRPr="000477F3">
        <w:rPr>
          <w:rStyle w:val="hps"/>
          <w:color w:val="333333"/>
          <w:lang w:val="en-US"/>
        </w:rPr>
        <w:t>concentrated</w:t>
      </w:r>
      <w:r w:rsidRPr="000477F3">
        <w:rPr>
          <w:color w:val="333333"/>
          <w:lang w:val="en-US"/>
        </w:rPr>
        <w:t xml:space="preserve"> </w:t>
      </w:r>
      <w:r w:rsidRPr="000477F3">
        <w:rPr>
          <w:rStyle w:val="hps"/>
          <w:color w:val="333333"/>
          <w:lang w:val="en-US"/>
        </w:rPr>
        <w:t>in order</w:t>
      </w:r>
      <w:r w:rsidRPr="000477F3">
        <w:rPr>
          <w:color w:val="333333"/>
          <w:lang w:val="en-US"/>
        </w:rPr>
        <w:t xml:space="preserve"> </w:t>
      </w:r>
      <w:r w:rsidRPr="000477F3">
        <w:rPr>
          <w:rStyle w:val="hps"/>
          <w:color w:val="333333"/>
          <w:lang w:val="en-US"/>
        </w:rPr>
        <w:t>to prepare</w:t>
      </w:r>
      <w:r w:rsidRPr="000477F3">
        <w:rPr>
          <w:color w:val="333333"/>
          <w:lang w:val="en-US"/>
        </w:rPr>
        <w:t xml:space="preserve"> </w:t>
      </w:r>
      <w:r w:rsidRPr="000477F3">
        <w:rPr>
          <w:rStyle w:val="hps"/>
          <w:color w:val="333333"/>
          <w:lang w:val="en-US"/>
        </w:rPr>
        <w:t>all meals</w:t>
      </w:r>
      <w:r w:rsidRPr="000477F3">
        <w:rPr>
          <w:color w:val="333333"/>
          <w:lang w:val="en-US"/>
        </w:rPr>
        <w:t xml:space="preserve"> </w:t>
      </w:r>
      <w:r w:rsidRPr="000477F3">
        <w:rPr>
          <w:rStyle w:val="hps"/>
          <w:color w:val="333333"/>
          <w:lang w:val="en-US"/>
        </w:rPr>
        <w:t>provided</w:t>
      </w:r>
      <w:r w:rsidRPr="000477F3">
        <w:rPr>
          <w:color w:val="333333"/>
          <w:lang w:val="en-US"/>
        </w:rPr>
        <w:t xml:space="preserve"> </w:t>
      </w:r>
      <w:r w:rsidRPr="000477F3">
        <w:rPr>
          <w:rStyle w:val="hps"/>
          <w:color w:val="333333"/>
          <w:lang w:val="en-US"/>
        </w:rPr>
        <w:t>within the time required</w:t>
      </w:r>
      <w:r w:rsidRPr="000477F3">
        <w:rPr>
          <w:color w:val="333333"/>
          <w:lang w:val="en-US"/>
        </w:rPr>
        <w:t xml:space="preserve"> </w:t>
      </w:r>
      <w:r w:rsidRPr="000477F3">
        <w:rPr>
          <w:rStyle w:val="hps"/>
          <w:color w:val="333333"/>
          <w:lang w:val="en-US"/>
        </w:rPr>
        <w:t>by the customers</w:t>
      </w:r>
      <w:r w:rsidRPr="000477F3">
        <w:rPr>
          <w:color w:val="333333"/>
          <w:lang w:val="en-US"/>
        </w:rPr>
        <w:t xml:space="preserve">. </w:t>
      </w:r>
      <w:r w:rsidRPr="000477F3">
        <w:rPr>
          <w:rStyle w:val="hps"/>
          <w:color w:val="333333"/>
          <w:lang w:val="en-US"/>
        </w:rPr>
        <w:t>Think of a</w:t>
      </w:r>
      <w:r w:rsidRPr="000477F3">
        <w:rPr>
          <w:color w:val="333333"/>
          <w:lang w:val="en-US"/>
        </w:rPr>
        <w:t xml:space="preserve"> </w:t>
      </w:r>
      <w:r w:rsidRPr="000477F3">
        <w:rPr>
          <w:rStyle w:val="hps"/>
          <w:color w:val="333333"/>
          <w:lang w:val="en-US"/>
        </w:rPr>
        <w:t>great cooking center</w:t>
      </w:r>
      <w:r w:rsidRPr="000477F3">
        <w:rPr>
          <w:color w:val="333333"/>
          <w:lang w:val="en-US"/>
        </w:rPr>
        <w:t xml:space="preserve">, </w:t>
      </w:r>
      <w:r w:rsidRPr="000477F3">
        <w:rPr>
          <w:rStyle w:val="hps"/>
          <w:color w:val="333333"/>
          <w:lang w:val="en-US"/>
        </w:rPr>
        <w:t>having to produce</w:t>
      </w:r>
      <w:r w:rsidRPr="000477F3">
        <w:rPr>
          <w:color w:val="333333"/>
          <w:lang w:val="en-US"/>
        </w:rPr>
        <w:t xml:space="preserve"> </w:t>
      </w:r>
      <w:r w:rsidRPr="000477F3">
        <w:rPr>
          <w:rStyle w:val="hps"/>
          <w:color w:val="333333"/>
          <w:lang w:val="en-US"/>
        </w:rPr>
        <w:t>a few thousand</w:t>
      </w:r>
      <w:r w:rsidRPr="000477F3">
        <w:rPr>
          <w:color w:val="333333"/>
          <w:lang w:val="en-US"/>
        </w:rPr>
        <w:t xml:space="preserve"> </w:t>
      </w:r>
      <w:r w:rsidRPr="000477F3">
        <w:rPr>
          <w:rStyle w:val="hps"/>
          <w:color w:val="333333"/>
          <w:lang w:val="en-US"/>
        </w:rPr>
        <w:t>meals,</w:t>
      </w:r>
      <w:r w:rsidRPr="000477F3">
        <w:rPr>
          <w:color w:val="333333"/>
          <w:lang w:val="en-US"/>
        </w:rPr>
        <w:t xml:space="preserve"> </w:t>
      </w:r>
      <w:r w:rsidRPr="000477F3">
        <w:rPr>
          <w:rStyle w:val="hps"/>
          <w:color w:val="333333"/>
          <w:lang w:val="en-US"/>
        </w:rPr>
        <w:t>must</w:t>
      </w:r>
      <w:r w:rsidRPr="000477F3">
        <w:rPr>
          <w:color w:val="333333"/>
          <w:lang w:val="en-US"/>
        </w:rPr>
        <w:t xml:space="preserve"> </w:t>
      </w:r>
      <w:r w:rsidRPr="000477F3">
        <w:rPr>
          <w:rStyle w:val="hps"/>
          <w:color w:val="333333"/>
          <w:lang w:val="en-US"/>
        </w:rPr>
        <w:t>concentrate all</w:t>
      </w:r>
      <w:r w:rsidRPr="000477F3">
        <w:rPr>
          <w:color w:val="333333"/>
          <w:lang w:val="en-US"/>
        </w:rPr>
        <w:t xml:space="preserve"> </w:t>
      </w:r>
      <w:r w:rsidRPr="000477F3">
        <w:rPr>
          <w:rStyle w:val="hps"/>
          <w:color w:val="333333"/>
          <w:lang w:val="en-US"/>
        </w:rPr>
        <w:t>activities</w:t>
      </w:r>
      <w:r w:rsidRPr="000477F3">
        <w:rPr>
          <w:color w:val="333333"/>
          <w:lang w:val="en-US"/>
        </w:rPr>
        <w:t xml:space="preserve"> </w:t>
      </w:r>
      <w:r w:rsidRPr="000477F3">
        <w:rPr>
          <w:rStyle w:val="hps"/>
          <w:color w:val="333333"/>
          <w:lang w:val="en-US"/>
        </w:rPr>
        <w:t>in the early hours</w:t>
      </w:r>
      <w:r w:rsidRPr="000477F3">
        <w:rPr>
          <w:color w:val="333333"/>
          <w:lang w:val="en-US"/>
        </w:rPr>
        <w:t xml:space="preserve"> </w:t>
      </w:r>
      <w:r w:rsidRPr="000477F3">
        <w:rPr>
          <w:rStyle w:val="hps"/>
          <w:color w:val="333333"/>
          <w:lang w:val="en-US"/>
        </w:rPr>
        <w:t>of the morning</w:t>
      </w:r>
      <w:r w:rsidRPr="000477F3">
        <w:rPr>
          <w:color w:val="333333"/>
          <w:lang w:val="en-US"/>
        </w:rPr>
        <w:t xml:space="preserve"> </w:t>
      </w:r>
      <w:r w:rsidRPr="000477F3">
        <w:rPr>
          <w:rStyle w:val="hps"/>
          <w:color w:val="333333"/>
          <w:lang w:val="en-US"/>
        </w:rPr>
        <w:t>in order to</w:t>
      </w:r>
      <w:r w:rsidRPr="000477F3">
        <w:rPr>
          <w:color w:val="333333"/>
          <w:lang w:val="en-US"/>
        </w:rPr>
        <w:t xml:space="preserve"> </w:t>
      </w:r>
      <w:r w:rsidRPr="000477F3">
        <w:rPr>
          <w:rStyle w:val="hps"/>
          <w:color w:val="333333"/>
          <w:lang w:val="en-US"/>
        </w:rPr>
        <w:t>allow the</w:t>
      </w:r>
      <w:r w:rsidRPr="000477F3">
        <w:rPr>
          <w:color w:val="333333"/>
          <w:lang w:val="en-US"/>
        </w:rPr>
        <w:t xml:space="preserve"> </w:t>
      </w:r>
      <w:r w:rsidRPr="000477F3">
        <w:rPr>
          <w:rStyle w:val="hps"/>
          <w:color w:val="333333"/>
          <w:lang w:val="en-US"/>
        </w:rPr>
        <w:t>logistics</w:t>
      </w:r>
      <w:r w:rsidRPr="000477F3">
        <w:rPr>
          <w:color w:val="333333"/>
          <w:lang w:val="en-US"/>
        </w:rPr>
        <w:t xml:space="preserve"> </w:t>
      </w:r>
      <w:r w:rsidRPr="000477F3">
        <w:rPr>
          <w:rStyle w:val="hps"/>
          <w:color w:val="333333"/>
          <w:lang w:val="en-US"/>
        </w:rPr>
        <w:t>deploy</w:t>
      </w:r>
      <w:r w:rsidRPr="000477F3">
        <w:rPr>
          <w:color w:val="333333"/>
          <w:lang w:val="en-US"/>
        </w:rPr>
        <w:t xml:space="preserve"> </w:t>
      </w:r>
      <w:r w:rsidRPr="000477F3">
        <w:rPr>
          <w:rStyle w:val="hps"/>
          <w:color w:val="333333"/>
          <w:lang w:val="en-US"/>
        </w:rPr>
        <w:t>on time</w:t>
      </w:r>
      <w:r w:rsidR="00F53729">
        <w:rPr>
          <w:color w:val="333333"/>
          <w:lang w:val="en-US"/>
        </w:rPr>
        <w:t xml:space="preserve"> (</w:t>
      </w:r>
      <w:r w:rsidR="00F53729" w:rsidRPr="005804E4">
        <w:rPr>
          <w:lang w:val="en-US"/>
        </w:rPr>
        <w:t>European Agency for Safety and Health at Work</w:t>
      </w:r>
      <w:r w:rsidR="00F53729">
        <w:rPr>
          <w:lang w:val="en-US"/>
        </w:rPr>
        <w:t>, 2008)</w:t>
      </w:r>
    </w:p>
    <w:p w:rsidR="00F03A4F" w:rsidRPr="000477F3" w:rsidRDefault="00D86A4D" w:rsidP="00F03A4F">
      <w:pPr>
        <w:spacing w:after="0" w:line="240" w:lineRule="auto"/>
        <w:jc w:val="both"/>
        <w:rPr>
          <w:rFonts w:ascii="Times New Roman" w:hAnsi="Times New Roman" w:cs="Times New Roman"/>
          <w:sz w:val="24"/>
          <w:szCs w:val="24"/>
          <w:lang w:val="en-US" w:eastAsia="it-IT"/>
        </w:rPr>
      </w:pPr>
      <w:r w:rsidRPr="000477F3">
        <w:rPr>
          <w:rFonts w:ascii="Times New Roman" w:hAnsi="Times New Roman" w:cs="Times New Roman"/>
          <w:sz w:val="24"/>
          <w:szCs w:val="24"/>
          <w:lang w:val="en-US" w:eastAsia="it-IT"/>
        </w:rPr>
        <w:t>The personnel i</w:t>
      </w:r>
      <w:r w:rsidR="000330A1" w:rsidRPr="000477F3">
        <w:rPr>
          <w:rFonts w:ascii="Times New Roman" w:hAnsi="Times New Roman" w:cs="Times New Roman"/>
          <w:sz w:val="24"/>
          <w:szCs w:val="24"/>
          <w:lang w:val="en-US" w:eastAsia="it-IT"/>
        </w:rPr>
        <w:t>nvolved are mainly young (48%</w:t>
      </w:r>
      <w:r w:rsidRPr="000477F3">
        <w:rPr>
          <w:rFonts w:ascii="Times New Roman" w:hAnsi="Times New Roman" w:cs="Times New Roman"/>
          <w:sz w:val="24"/>
          <w:szCs w:val="24"/>
          <w:lang w:val="en-US" w:eastAsia="it-IT"/>
        </w:rPr>
        <w:t xml:space="preserve"> under 35 years</w:t>
      </w:r>
      <w:r w:rsidR="000330A1" w:rsidRPr="000477F3">
        <w:rPr>
          <w:rFonts w:ascii="Times New Roman" w:hAnsi="Times New Roman" w:cs="Times New Roman"/>
          <w:sz w:val="24"/>
          <w:szCs w:val="24"/>
          <w:lang w:val="en-US" w:eastAsia="it-IT"/>
        </w:rPr>
        <w:t xml:space="preserve"> old) and often in a</w:t>
      </w:r>
      <w:r w:rsidRPr="000477F3">
        <w:rPr>
          <w:rFonts w:ascii="Times New Roman" w:hAnsi="Times New Roman" w:cs="Times New Roman"/>
          <w:sz w:val="24"/>
          <w:szCs w:val="24"/>
          <w:lang w:val="en-US" w:eastAsia="it-IT"/>
        </w:rPr>
        <w:t xml:space="preserve"> season</w:t>
      </w:r>
      <w:r w:rsidR="000330A1" w:rsidRPr="000477F3">
        <w:rPr>
          <w:rFonts w:ascii="Times New Roman" w:hAnsi="Times New Roman" w:cs="Times New Roman"/>
          <w:sz w:val="24"/>
          <w:szCs w:val="24"/>
          <w:lang w:val="en-US" w:eastAsia="it-IT"/>
        </w:rPr>
        <w:t>al period</w:t>
      </w:r>
      <w:r w:rsidRPr="000477F3">
        <w:rPr>
          <w:rFonts w:ascii="Times New Roman" w:hAnsi="Times New Roman" w:cs="Times New Roman"/>
          <w:sz w:val="24"/>
          <w:szCs w:val="24"/>
          <w:lang w:val="en-US" w:eastAsia="it-IT"/>
        </w:rPr>
        <w:t>. Data on total employment in the industry HORECA</w:t>
      </w:r>
      <w:r w:rsidR="000330A1" w:rsidRPr="000477F3">
        <w:rPr>
          <w:rFonts w:ascii="Times New Roman" w:hAnsi="Times New Roman" w:cs="Times New Roman"/>
          <w:sz w:val="24"/>
          <w:szCs w:val="24"/>
          <w:lang w:val="en-US" w:eastAsia="it-IT"/>
        </w:rPr>
        <w:t xml:space="preserve"> (</w:t>
      </w:r>
      <w:proofErr w:type="spellStart"/>
      <w:r w:rsidR="000330A1" w:rsidRPr="000477F3">
        <w:rPr>
          <w:rFonts w:ascii="Times New Roman" w:hAnsi="Times New Roman" w:cs="Times New Roman"/>
          <w:sz w:val="24"/>
          <w:szCs w:val="24"/>
          <w:lang w:val="en-US" w:eastAsia="it-IT"/>
        </w:rPr>
        <w:t>HOtel</w:t>
      </w:r>
      <w:proofErr w:type="spellEnd"/>
      <w:r w:rsidR="000330A1" w:rsidRPr="000477F3">
        <w:rPr>
          <w:rFonts w:ascii="Times New Roman" w:hAnsi="Times New Roman" w:cs="Times New Roman"/>
          <w:sz w:val="24"/>
          <w:szCs w:val="24"/>
          <w:lang w:val="en-US" w:eastAsia="it-IT"/>
        </w:rPr>
        <w:t xml:space="preserve">, </w:t>
      </w:r>
      <w:proofErr w:type="spellStart"/>
      <w:r w:rsidR="000330A1" w:rsidRPr="000477F3">
        <w:rPr>
          <w:rFonts w:ascii="Times New Roman" w:hAnsi="Times New Roman" w:cs="Times New Roman"/>
          <w:sz w:val="24"/>
          <w:szCs w:val="24"/>
          <w:lang w:val="en-US" w:eastAsia="it-IT"/>
        </w:rPr>
        <w:t>REstaurant</w:t>
      </w:r>
      <w:proofErr w:type="spellEnd"/>
      <w:r w:rsidR="000330A1" w:rsidRPr="000477F3">
        <w:rPr>
          <w:rFonts w:ascii="Times New Roman" w:hAnsi="Times New Roman" w:cs="Times New Roman"/>
          <w:sz w:val="24"/>
          <w:szCs w:val="24"/>
          <w:lang w:val="en-US" w:eastAsia="it-IT"/>
        </w:rPr>
        <w:t xml:space="preserve"> and </w:t>
      </w:r>
      <w:proofErr w:type="spellStart"/>
      <w:r w:rsidR="000330A1" w:rsidRPr="000477F3">
        <w:rPr>
          <w:rFonts w:ascii="Times New Roman" w:hAnsi="Times New Roman" w:cs="Times New Roman"/>
          <w:sz w:val="24"/>
          <w:szCs w:val="24"/>
          <w:lang w:val="en-US" w:eastAsia="it-IT"/>
        </w:rPr>
        <w:t>CAtering</w:t>
      </w:r>
      <w:proofErr w:type="spellEnd"/>
      <w:r w:rsidR="000330A1" w:rsidRPr="000477F3">
        <w:rPr>
          <w:rFonts w:ascii="Times New Roman" w:hAnsi="Times New Roman" w:cs="Times New Roman"/>
          <w:sz w:val="24"/>
          <w:szCs w:val="24"/>
          <w:lang w:val="en-US" w:eastAsia="it-IT"/>
        </w:rPr>
        <w:t>)</w:t>
      </w:r>
      <w:r w:rsidRPr="000477F3">
        <w:rPr>
          <w:rFonts w:ascii="Times New Roman" w:hAnsi="Times New Roman" w:cs="Times New Roman"/>
          <w:sz w:val="24"/>
          <w:szCs w:val="24"/>
          <w:lang w:val="en-US" w:eastAsia="it-IT"/>
        </w:rPr>
        <w:t xml:space="preserve"> show that the levels are significant throughout</w:t>
      </w:r>
      <w:r w:rsidR="000330A1" w:rsidRPr="000477F3">
        <w:rPr>
          <w:rFonts w:ascii="Times New Roman" w:hAnsi="Times New Roman" w:cs="Times New Roman"/>
          <w:sz w:val="24"/>
          <w:szCs w:val="24"/>
          <w:lang w:val="en-US" w:eastAsia="it-IT"/>
        </w:rPr>
        <w:t xml:space="preserve"> all</w:t>
      </w:r>
      <w:r w:rsidRPr="000477F3">
        <w:rPr>
          <w:rFonts w:ascii="Times New Roman" w:hAnsi="Times New Roman" w:cs="Times New Roman"/>
          <w:sz w:val="24"/>
          <w:szCs w:val="24"/>
          <w:lang w:val="en-US" w:eastAsia="it-IT"/>
        </w:rPr>
        <w:t xml:space="preserve"> the European context (Fig. 1</w:t>
      </w:r>
      <w:r w:rsidR="00F03A4F" w:rsidRPr="000477F3">
        <w:rPr>
          <w:rFonts w:ascii="Times New Roman" w:hAnsi="Times New Roman" w:cs="Times New Roman"/>
          <w:sz w:val="24"/>
          <w:szCs w:val="24"/>
          <w:lang w:val="en-US" w:eastAsia="it-IT"/>
        </w:rPr>
        <w:t>.a</w:t>
      </w:r>
      <w:r w:rsidRPr="000477F3">
        <w:rPr>
          <w:rFonts w:ascii="Times New Roman" w:hAnsi="Times New Roman" w:cs="Times New Roman"/>
          <w:sz w:val="24"/>
          <w:szCs w:val="24"/>
          <w:lang w:val="en-US" w:eastAsia="it-IT"/>
        </w:rPr>
        <w:t>)</w:t>
      </w:r>
      <w:r w:rsidR="00F03A4F" w:rsidRPr="000477F3">
        <w:rPr>
          <w:rFonts w:ascii="Times New Roman" w:hAnsi="Times New Roman" w:cs="Times New Roman"/>
          <w:sz w:val="24"/>
          <w:szCs w:val="24"/>
          <w:lang w:val="en-US" w:eastAsia="it-IT"/>
        </w:rPr>
        <w:t xml:space="preserve">. </w:t>
      </w:r>
    </w:p>
    <w:p w:rsidR="00F03A4F" w:rsidRPr="000477F3" w:rsidRDefault="00F03A4F" w:rsidP="00F03A4F">
      <w:pPr>
        <w:spacing w:after="0" w:line="240" w:lineRule="auto"/>
        <w:jc w:val="both"/>
        <w:rPr>
          <w:rFonts w:ascii="Times New Roman" w:hAnsi="Times New Roman" w:cs="Times New Roman"/>
          <w:sz w:val="24"/>
          <w:szCs w:val="24"/>
          <w:lang w:val="en-US" w:eastAsia="it-IT"/>
        </w:rPr>
      </w:pPr>
      <w:r w:rsidRPr="000477F3">
        <w:rPr>
          <w:rFonts w:ascii="Times New Roman" w:hAnsi="Times New Roman" w:cs="Times New Roman"/>
          <w:sz w:val="24"/>
          <w:szCs w:val="24"/>
          <w:lang w:val="en-US" w:eastAsia="it-IT"/>
        </w:rPr>
        <w:t>The dynamics of the sector have large variability (Fig. 1.b) with significant differences depending on the country considered.</w:t>
      </w:r>
      <w:r w:rsidR="00F53729">
        <w:rPr>
          <w:rFonts w:ascii="Times New Roman" w:hAnsi="Times New Roman" w:cs="Times New Roman"/>
          <w:sz w:val="24"/>
          <w:szCs w:val="24"/>
          <w:lang w:val="en-US" w:eastAsia="it-IT"/>
        </w:rPr>
        <w:t>(Eurostat, 2011)</w:t>
      </w:r>
    </w:p>
    <w:p w:rsidR="00F03A4F" w:rsidRPr="000477F3" w:rsidRDefault="00F03A4F" w:rsidP="00F03A4F">
      <w:pPr>
        <w:autoSpaceDE w:val="0"/>
        <w:autoSpaceDN w:val="0"/>
        <w:adjustRightInd w:val="0"/>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 xml:space="preserve">The working conditions in the sector are difficult and include irregular, often constraining work hours, atypical forms of employment, comparatively low pay and lack of job stability. And these conditions put workers’ health and safety at risk. However, the incidence rate in the HORECA sector (3041 accidents per 100 000 workers) for accidents with more than 3 days absence from </w:t>
      </w:r>
      <w:r w:rsidRPr="000477F3">
        <w:rPr>
          <w:rFonts w:ascii="Times New Roman" w:hAnsi="Times New Roman" w:cs="Times New Roman"/>
          <w:color w:val="000000"/>
          <w:sz w:val="24"/>
          <w:szCs w:val="24"/>
          <w:lang w:val="en-US"/>
        </w:rPr>
        <w:lastRenderedPageBreak/>
        <w:t>work, is comparable to the rest of the economy (3176 accidents per 100 000 workers).(</w:t>
      </w:r>
      <w:r w:rsidRPr="000477F3">
        <w:rPr>
          <w:rFonts w:ascii="Times New Roman" w:hAnsi="Times New Roman" w:cs="Times New Roman"/>
          <w:sz w:val="24"/>
          <w:szCs w:val="24"/>
          <w:lang w:val="en-US"/>
        </w:rPr>
        <w:t>European Foundation for the improvement of living and working conditions</w:t>
      </w:r>
      <w:r w:rsidRPr="000477F3">
        <w:rPr>
          <w:rFonts w:ascii="Times New Roman" w:hAnsi="Times New Roman" w:cs="Times New Roman"/>
          <w:sz w:val="24"/>
          <w:szCs w:val="24"/>
          <w:lang w:val="en-US" w:eastAsia="it-IT"/>
        </w:rPr>
        <w:t>, 2012).</w:t>
      </w:r>
    </w:p>
    <w:p w:rsidR="00D86A4D" w:rsidRPr="000477F3" w:rsidRDefault="00D86A4D" w:rsidP="00093B6F">
      <w:pPr>
        <w:spacing w:after="0" w:line="240" w:lineRule="auto"/>
        <w:rPr>
          <w:rFonts w:ascii="Times New Roman" w:hAnsi="Times New Roman" w:cs="Times New Roman"/>
          <w:sz w:val="24"/>
          <w:szCs w:val="24"/>
          <w:lang w:val="en-US" w:eastAsia="it-IT"/>
        </w:rPr>
      </w:pPr>
    </w:p>
    <w:p w:rsidR="0052765F" w:rsidRPr="000477F3" w:rsidRDefault="0052765F" w:rsidP="000330A1">
      <w:pPr>
        <w:spacing w:after="0" w:line="240" w:lineRule="auto"/>
        <w:jc w:val="center"/>
        <w:rPr>
          <w:rFonts w:ascii="Times New Roman" w:hAnsi="Times New Roman" w:cs="Times New Roman"/>
          <w:b/>
          <w:sz w:val="24"/>
          <w:szCs w:val="24"/>
          <w:lang w:val="en-US" w:eastAsia="it-IT"/>
        </w:rPr>
      </w:pPr>
      <w:r w:rsidRPr="000477F3">
        <w:rPr>
          <w:rFonts w:ascii="Times New Roman" w:hAnsi="Times New Roman" w:cs="Times New Roman"/>
          <w:b/>
          <w:noProof/>
          <w:sz w:val="24"/>
          <w:szCs w:val="24"/>
          <w:lang w:eastAsia="it-IT"/>
        </w:rPr>
        <w:drawing>
          <wp:inline distT="0" distB="0" distL="0" distR="0" wp14:anchorId="426ABEE7" wp14:editId="142A88D9">
            <wp:extent cx="2673541" cy="2410691"/>
            <wp:effectExtent l="0" t="0" r="0" b="889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82487" cy="2418757"/>
                    </a:xfrm>
                    <a:prstGeom prst="rect">
                      <a:avLst/>
                    </a:prstGeom>
                    <a:noFill/>
                    <a:ln>
                      <a:noFill/>
                    </a:ln>
                  </pic:spPr>
                </pic:pic>
              </a:graphicData>
            </a:graphic>
          </wp:inline>
        </w:drawing>
      </w:r>
      <w:r w:rsidR="00F03A4F" w:rsidRPr="000477F3">
        <w:rPr>
          <w:rFonts w:ascii="Times New Roman" w:hAnsi="Times New Roman" w:cs="Times New Roman"/>
          <w:noProof/>
          <w:sz w:val="24"/>
          <w:szCs w:val="24"/>
          <w:lang w:val="en-US" w:eastAsia="it-IT"/>
        </w:rPr>
        <w:t xml:space="preserve">          </w:t>
      </w:r>
      <w:r w:rsidR="00F03A4F" w:rsidRPr="000477F3">
        <w:rPr>
          <w:rFonts w:ascii="Times New Roman" w:hAnsi="Times New Roman" w:cs="Times New Roman"/>
          <w:noProof/>
          <w:sz w:val="24"/>
          <w:szCs w:val="24"/>
          <w:lang w:eastAsia="it-IT"/>
        </w:rPr>
        <w:drawing>
          <wp:inline distT="0" distB="0" distL="0" distR="0" wp14:anchorId="3ED0BA02" wp14:editId="687CBC03">
            <wp:extent cx="2128982" cy="2420348"/>
            <wp:effectExtent l="0" t="0" r="508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33887" cy="2425924"/>
                    </a:xfrm>
                    <a:prstGeom prst="rect">
                      <a:avLst/>
                    </a:prstGeom>
                    <a:noFill/>
                    <a:ln>
                      <a:noFill/>
                    </a:ln>
                  </pic:spPr>
                </pic:pic>
              </a:graphicData>
            </a:graphic>
          </wp:inline>
        </w:drawing>
      </w:r>
    </w:p>
    <w:p w:rsidR="00F03A4F" w:rsidRPr="000477F3" w:rsidRDefault="00F03A4F" w:rsidP="00F03A4F">
      <w:pPr>
        <w:pStyle w:val="Paragrafoelenco"/>
        <w:numPr>
          <w:ilvl w:val="0"/>
          <w:numId w:val="13"/>
        </w:numPr>
        <w:spacing w:after="0" w:line="240" w:lineRule="auto"/>
        <w:ind w:hanging="1206"/>
        <w:jc w:val="both"/>
        <w:rPr>
          <w:rFonts w:ascii="Times New Roman" w:hAnsi="Times New Roman" w:cs="Times New Roman"/>
          <w:b/>
          <w:sz w:val="24"/>
          <w:szCs w:val="24"/>
          <w:lang w:val="en-US" w:eastAsia="it-IT"/>
        </w:rPr>
      </w:pPr>
      <w:r w:rsidRPr="000477F3">
        <w:rPr>
          <w:rFonts w:ascii="Times New Roman" w:hAnsi="Times New Roman" w:cs="Times New Roman"/>
          <w:b/>
          <w:sz w:val="24"/>
          <w:szCs w:val="24"/>
          <w:lang w:val="en-US" w:eastAsia="it-IT"/>
        </w:rPr>
        <w:t xml:space="preserve">                                                     (b)</w:t>
      </w:r>
    </w:p>
    <w:p w:rsidR="000330A1" w:rsidRPr="000477F3" w:rsidRDefault="000330A1" w:rsidP="000330A1">
      <w:pPr>
        <w:spacing w:after="0" w:line="240" w:lineRule="auto"/>
        <w:jc w:val="both"/>
        <w:rPr>
          <w:rFonts w:ascii="Times New Roman" w:hAnsi="Times New Roman" w:cs="Times New Roman"/>
          <w:sz w:val="24"/>
          <w:szCs w:val="24"/>
          <w:lang w:val="en-US" w:eastAsia="it-IT"/>
        </w:rPr>
      </w:pPr>
      <w:r w:rsidRPr="000477F3">
        <w:rPr>
          <w:rFonts w:ascii="Times New Roman" w:hAnsi="Times New Roman" w:cs="Times New Roman"/>
          <w:b/>
          <w:sz w:val="24"/>
          <w:szCs w:val="24"/>
          <w:lang w:val="en-US" w:eastAsia="it-IT"/>
        </w:rPr>
        <w:t>Figure 1</w:t>
      </w:r>
      <w:r w:rsidRPr="000477F3">
        <w:rPr>
          <w:rFonts w:ascii="Times New Roman" w:hAnsi="Times New Roman" w:cs="Times New Roman"/>
          <w:sz w:val="24"/>
          <w:szCs w:val="24"/>
          <w:lang w:val="en-US" w:eastAsia="it-IT"/>
        </w:rPr>
        <w:t xml:space="preserve"> </w:t>
      </w:r>
      <w:r w:rsidR="00F03A4F" w:rsidRPr="000477F3">
        <w:rPr>
          <w:rFonts w:ascii="Times New Roman" w:hAnsi="Times New Roman" w:cs="Times New Roman"/>
          <w:sz w:val="24"/>
          <w:szCs w:val="24"/>
          <w:lang w:val="en-US" w:eastAsia="it-IT"/>
        </w:rPr>
        <w:t>–</w:t>
      </w:r>
      <w:r w:rsidRPr="000477F3">
        <w:rPr>
          <w:rFonts w:ascii="Times New Roman" w:hAnsi="Times New Roman" w:cs="Times New Roman"/>
          <w:sz w:val="24"/>
          <w:szCs w:val="24"/>
          <w:lang w:val="en-US" w:eastAsia="it-IT"/>
        </w:rPr>
        <w:t xml:space="preserve"> </w:t>
      </w:r>
      <w:r w:rsidR="00F03A4F" w:rsidRPr="000477F3">
        <w:rPr>
          <w:rFonts w:ascii="Times New Roman" w:hAnsi="Times New Roman" w:cs="Times New Roman"/>
          <w:sz w:val="24"/>
          <w:szCs w:val="24"/>
          <w:lang w:val="en-US" w:eastAsia="it-IT"/>
        </w:rPr>
        <w:t xml:space="preserve">(a) </w:t>
      </w:r>
      <w:r w:rsidRPr="000477F3">
        <w:rPr>
          <w:rFonts w:ascii="Times New Roman" w:hAnsi="Times New Roman" w:cs="Times New Roman"/>
          <w:sz w:val="24"/>
          <w:szCs w:val="24"/>
          <w:lang w:val="en-US" w:eastAsia="it-IT"/>
        </w:rPr>
        <w:t>Percentage</w:t>
      </w:r>
      <w:r w:rsidR="00F03A4F" w:rsidRPr="000477F3">
        <w:rPr>
          <w:rFonts w:ascii="Times New Roman" w:hAnsi="Times New Roman" w:cs="Times New Roman"/>
          <w:sz w:val="24"/>
          <w:szCs w:val="24"/>
          <w:lang w:val="en-US" w:eastAsia="it-IT"/>
        </w:rPr>
        <w:t xml:space="preserve"> (a) and dynamics (b)</w:t>
      </w:r>
      <w:r w:rsidRPr="000477F3">
        <w:rPr>
          <w:rFonts w:ascii="Times New Roman" w:hAnsi="Times New Roman" w:cs="Times New Roman"/>
          <w:sz w:val="24"/>
          <w:szCs w:val="24"/>
          <w:lang w:val="en-US" w:eastAsia="it-IT"/>
        </w:rPr>
        <w:t xml:space="preserve"> of employment in HORECA in different European countries</w:t>
      </w:r>
      <w:r w:rsidR="00F03A4F" w:rsidRPr="000477F3">
        <w:rPr>
          <w:rFonts w:ascii="Times New Roman" w:hAnsi="Times New Roman" w:cs="Times New Roman"/>
          <w:sz w:val="24"/>
          <w:szCs w:val="24"/>
          <w:lang w:val="en-US" w:eastAsia="it-IT"/>
        </w:rPr>
        <w:t xml:space="preserve"> </w:t>
      </w:r>
      <w:r w:rsidR="000C3209" w:rsidRPr="000477F3">
        <w:rPr>
          <w:rFonts w:ascii="Times New Roman" w:hAnsi="Times New Roman" w:cs="Times New Roman"/>
          <w:sz w:val="24"/>
          <w:szCs w:val="24"/>
          <w:lang w:val="en-US" w:eastAsia="it-IT"/>
        </w:rPr>
        <w:t>(Eurostat, 2011)</w:t>
      </w:r>
    </w:p>
    <w:p w:rsidR="00B35393" w:rsidRPr="000477F3" w:rsidRDefault="00B35393" w:rsidP="00093B6F">
      <w:pPr>
        <w:spacing w:after="0" w:line="240" w:lineRule="auto"/>
        <w:jc w:val="both"/>
        <w:rPr>
          <w:rFonts w:ascii="Times New Roman" w:hAnsi="Times New Roman" w:cs="Times New Roman"/>
          <w:sz w:val="24"/>
          <w:szCs w:val="24"/>
          <w:lang w:val="en-US" w:eastAsia="it-IT"/>
        </w:rPr>
      </w:pPr>
    </w:p>
    <w:p w:rsidR="00712C39" w:rsidRPr="000477F3" w:rsidRDefault="00712C39" w:rsidP="00093B6F">
      <w:pPr>
        <w:pStyle w:val="Testo"/>
        <w:rPr>
          <w:lang w:val="en-US"/>
        </w:rPr>
      </w:pPr>
      <w:r w:rsidRPr="000477F3">
        <w:rPr>
          <w:rStyle w:val="hps"/>
          <w:color w:val="333333"/>
          <w:lang w:val="en-US"/>
        </w:rPr>
        <w:t>The aim</w:t>
      </w:r>
      <w:r w:rsidRPr="000477F3">
        <w:rPr>
          <w:color w:val="333333"/>
          <w:lang w:val="en-US"/>
        </w:rPr>
        <w:t xml:space="preserve"> </w:t>
      </w:r>
      <w:r w:rsidRPr="000477F3">
        <w:rPr>
          <w:rStyle w:val="hps"/>
          <w:color w:val="333333"/>
          <w:lang w:val="en-US"/>
        </w:rPr>
        <w:t>of this study</w:t>
      </w:r>
      <w:r w:rsidRPr="000477F3">
        <w:rPr>
          <w:color w:val="333333"/>
          <w:lang w:val="en-US"/>
        </w:rPr>
        <w:t xml:space="preserve"> </w:t>
      </w:r>
      <w:r w:rsidRPr="000477F3">
        <w:rPr>
          <w:rStyle w:val="hps"/>
          <w:color w:val="333333"/>
          <w:lang w:val="en-US"/>
        </w:rPr>
        <w:t>was twofold</w:t>
      </w:r>
      <w:r w:rsidRPr="000477F3">
        <w:rPr>
          <w:color w:val="333333"/>
          <w:lang w:val="en-US"/>
        </w:rPr>
        <w:t xml:space="preserve">: firstly </w:t>
      </w:r>
      <w:r w:rsidRPr="000477F3">
        <w:rPr>
          <w:rStyle w:val="hps"/>
          <w:color w:val="333333"/>
          <w:lang w:val="en-US"/>
        </w:rPr>
        <w:t>to identify the major</w:t>
      </w:r>
      <w:r w:rsidRPr="000477F3">
        <w:rPr>
          <w:color w:val="333333"/>
          <w:lang w:val="en-US"/>
        </w:rPr>
        <w:t xml:space="preserve"> </w:t>
      </w:r>
      <w:r w:rsidRPr="000477F3">
        <w:rPr>
          <w:rStyle w:val="hps"/>
          <w:color w:val="333333"/>
          <w:lang w:val="en-US"/>
        </w:rPr>
        <w:t>accidents reported</w:t>
      </w:r>
      <w:r w:rsidRPr="000477F3">
        <w:rPr>
          <w:color w:val="333333"/>
          <w:lang w:val="en-US"/>
        </w:rPr>
        <w:t xml:space="preserve"> </w:t>
      </w:r>
      <w:r w:rsidRPr="000477F3">
        <w:rPr>
          <w:rStyle w:val="hps"/>
          <w:color w:val="333333"/>
          <w:lang w:val="en-US"/>
        </w:rPr>
        <w:t>in a</w:t>
      </w:r>
      <w:r w:rsidRPr="000477F3">
        <w:rPr>
          <w:color w:val="333333"/>
          <w:lang w:val="en-US"/>
        </w:rPr>
        <w:t xml:space="preserve"> </w:t>
      </w:r>
      <w:r w:rsidRPr="000477F3">
        <w:rPr>
          <w:rStyle w:val="hps"/>
          <w:color w:val="333333"/>
          <w:lang w:val="en-US"/>
        </w:rPr>
        <w:t>catering company</w:t>
      </w:r>
      <w:r w:rsidRPr="000477F3">
        <w:rPr>
          <w:color w:val="333333"/>
          <w:lang w:val="en-US"/>
        </w:rPr>
        <w:t xml:space="preserve"> </w:t>
      </w:r>
      <w:r w:rsidRPr="000477F3">
        <w:rPr>
          <w:rStyle w:val="hps"/>
          <w:color w:val="333333"/>
          <w:lang w:val="en-US"/>
        </w:rPr>
        <w:t>in three years</w:t>
      </w:r>
      <w:r w:rsidRPr="000477F3">
        <w:rPr>
          <w:color w:val="333333"/>
          <w:lang w:val="en-US"/>
        </w:rPr>
        <w:t xml:space="preserve">, </w:t>
      </w:r>
      <w:r w:rsidRPr="000477F3">
        <w:rPr>
          <w:rStyle w:val="hps"/>
          <w:color w:val="333333"/>
          <w:lang w:val="en-US"/>
        </w:rPr>
        <w:t>the other to</w:t>
      </w:r>
      <w:r w:rsidRPr="000477F3">
        <w:rPr>
          <w:color w:val="333333"/>
          <w:lang w:val="en-US"/>
        </w:rPr>
        <w:t xml:space="preserve"> </w:t>
      </w:r>
      <w:r w:rsidRPr="000477F3">
        <w:rPr>
          <w:rStyle w:val="hps"/>
          <w:color w:val="333333"/>
          <w:lang w:val="en-US"/>
        </w:rPr>
        <w:t>present an equipment analysis methodology</w:t>
      </w:r>
      <w:r w:rsidRPr="000477F3">
        <w:rPr>
          <w:color w:val="333333"/>
          <w:lang w:val="en-US"/>
        </w:rPr>
        <w:t xml:space="preserve"> </w:t>
      </w:r>
      <w:r w:rsidRPr="000477F3">
        <w:rPr>
          <w:rStyle w:val="hps"/>
          <w:color w:val="333333"/>
          <w:lang w:val="en-US"/>
        </w:rPr>
        <w:t>in such a way</w:t>
      </w:r>
      <w:r w:rsidRPr="000477F3">
        <w:rPr>
          <w:color w:val="333333"/>
          <w:lang w:val="en-US"/>
        </w:rPr>
        <w:t xml:space="preserve"> </w:t>
      </w:r>
      <w:r w:rsidRPr="000477F3">
        <w:rPr>
          <w:rStyle w:val="hps"/>
          <w:color w:val="333333"/>
          <w:lang w:val="en-US"/>
        </w:rPr>
        <w:t>that we can provide,</w:t>
      </w:r>
      <w:r w:rsidRPr="000477F3">
        <w:rPr>
          <w:color w:val="333333"/>
          <w:lang w:val="en-US"/>
        </w:rPr>
        <w:t xml:space="preserve"> </w:t>
      </w:r>
      <w:r w:rsidRPr="000477F3">
        <w:rPr>
          <w:rStyle w:val="hps"/>
          <w:color w:val="333333"/>
          <w:lang w:val="en-US"/>
        </w:rPr>
        <w:t>to those who</w:t>
      </w:r>
      <w:r w:rsidRPr="000477F3">
        <w:rPr>
          <w:color w:val="333333"/>
          <w:lang w:val="en-US"/>
        </w:rPr>
        <w:t xml:space="preserve"> </w:t>
      </w:r>
      <w:r w:rsidRPr="000477F3">
        <w:rPr>
          <w:rStyle w:val="hps"/>
          <w:color w:val="333333"/>
          <w:lang w:val="en-US"/>
        </w:rPr>
        <w:t>must</w:t>
      </w:r>
      <w:r w:rsidRPr="000477F3">
        <w:rPr>
          <w:color w:val="333333"/>
          <w:lang w:val="en-US"/>
        </w:rPr>
        <w:t xml:space="preserve"> </w:t>
      </w:r>
      <w:r w:rsidRPr="000477F3">
        <w:rPr>
          <w:rStyle w:val="hps"/>
          <w:color w:val="333333"/>
          <w:lang w:val="en-US"/>
        </w:rPr>
        <w:t>manage them,</w:t>
      </w:r>
      <w:r w:rsidRPr="000477F3">
        <w:rPr>
          <w:color w:val="333333"/>
          <w:lang w:val="en-US"/>
        </w:rPr>
        <w:t xml:space="preserve"> </w:t>
      </w:r>
      <w:r w:rsidRPr="000477F3">
        <w:rPr>
          <w:rStyle w:val="hps"/>
          <w:color w:val="333333"/>
          <w:lang w:val="en-US"/>
        </w:rPr>
        <w:t>an approach based</w:t>
      </w:r>
      <w:r w:rsidRPr="000477F3">
        <w:rPr>
          <w:color w:val="333333"/>
          <w:lang w:val="en-US"/>
        </w:rPr>
        <w:t xml:space="preserve"> </w:t>
      </w:r>
      <w:r w:rsidRPr="000477F3">
        <w:rPr>
          <w:rStyle w:val="hps"/>
          <w:color w:val="333333"/>
          <w:lang w:val="en-US"/>
        </w:rPr>
        <w:t>on</w:t>
      </w:r>
      <w:r w:rsidRPr="000477F3">
        <w:rPr>
          <w:color w:val="333333"/>
          <w:lang w:val="en-US"/>
        </w:rPr>
        <w:t xml:space="preserve"> </w:t>
      </w:r>
      <w:r w:rsidRPr="000477F3">
        <w:rPr>
          <w:rStyle w:val="hps"/>
          <w:color w:val="333333"/>
          <w:lang w:val="en-US"/>
        </w:rPr>
        <w:t>“</w:t>
      </w:r>
      <w:r w:rsidRPr="000477F3">
        <w:rPr>
          <w:color w:val="333333"/>
          <w:lang w:val="en-US"/>
        </w:rPr>
        <w:t>risk analysis model”.</w:t>
      </w:r>
    </w:p>
    <w:p w:rsidR="00712C39" w:rsidRPr="000477F3" w:rsidRDefault="00712C39" w:rsidP="00093B6F">
      <w:pPr>
        <w:spacing w:after="0" w:line="240" w:lineRule="auto"/>
        <w:rPr>
          <w:rFonts w:ascii="Times New Roman" w:hAnsi="Times New Roman" w:cs="Times New Roman"/>
          <w:b/>
          <w:sz w:val="24"/>
          <w:szCs w:val="24"/>
          <w:lang w:val="en-US" w:eastAsia="it-IT"/>
        </w:rPr>
      </w:pPr>
    </w:p>
    <w:p w:rsidR="00590183" w:rsidRPr="000477F3" w:rsidRDefault="00590183" w:rsidP="00093B6F">
      <w:pPr>
        <w:spacing w:after="0" w:line="240" w:lineRule="auto"/>
        <w:rPr>
          <w:rFonts w:ascii="Times New Roman" w:hAnsi="Times New Roman" w:cs="Times New Roman"/>
          <w:b/>
          <w:sz w:val="24"/>
          <w:szCs w:val="24"/>
          <w:lang w:val="en-US" w:eastAsia="it-IT"/>
        </w:rPr>
      </w:pPr>
      <w:r w:rsidRPr="000477F3">
        <w:rPr>
          <w:rFonts w:ascii="Times New Roman" w:hAnsi="Times New Roman" w:cs="Times New Roman"/>
          <w:b/>
          <w:sz w:val="24"/>
          <w:szCs w:val="24"/>
          <w:lang w:val="en-US" w:eastAsia="it-IT"/>
        </w:rPr>
        <w:t>Materials and methods</w:t>
      </w:r>
    </w:p>
    <w:p w:rsidR="00F03A4F" w:rsidRPr="000477F3" w:rsidRDefault="00F03A4F" w:rsidP="00093B6F">
      <w:pPr>
        <w:spacing w:after="0" w:line="240" w:lineRule="auto"/>
        <w:rPr>
          <w:rFonts w:ascii="Times New Roman" w:hAnsi="Times New Roman" w:cs="Times New Roman"/>
          <w:b/>
          <w:sz w:val="24"/>
          <w:szCs w:val="24"/>
          <w:lang w:val="en-US" w:eastAsia="it-IT"/>
        </w:rPr>
      </w:pP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The analysis of major accidents was conducted in an operational context by partnering with a company of caterers</w:t>
      </w:r>
      <w:r w:rsidR="00F53729">
        <w:rPr>
          <w:rFonts w:ascii="Times New Roman" w:hAnsi="Times New Roman" w:cs="Times New Roman"/>
          <w:sz w:val="24"/>
          <w:szCs w:val="24"/>
          <w:lang w:val="en-US"/>
        </w:rPr>
        <w:t xml:space="preserve"> (</w:t>
      </w:r>
      <w:proofErr w:type="spellStart"/>
      <w:r w:rsidR="00F53729">
        <w:rPr>
          <w:rFonts w:ascii="Times New Roman" w:hAnsi="Times New Roman" w:cs="Times New Roman"/>
          <w:sz w:val="24"/>
          <w:szCs w:val="24"/>
          <w:lang w:val="en-US"/>
        </w:rPr>
        <w:t>Serist</w:t>
      </w:r>
      <w:proofErr w:type="spellEnd"/>
      <w:r w:rsidR="00F53729">
        <w:rPr>
          <w:rFonts w:ascii="Times New Roman" w:hAnsi="Times New Roman" w:cs="Times New Roman"/>
          <w:sz w:val="24"/>
          <w:szCs w:val="24"/>
          <w:lang w:val="en-US"/>
        </w:rPr>
        <w:t xml:space="preserve"> </w:t>
      </w:r>
      <w:proofErr w:type="spellStart"/>
      <w:r w:rsidR="00F53729">
        <w:rPr>
          <w:rFonts w:ascii="Times New Roman" w:hAnsi="Times New Roman" w:cs="Times New Roman"/>
          <w:sz w:val="24"/>
          <w:szCs w:val="24"/>
          <w:lang w:val="en-US"/>
        </w:rPr>
        <w:t>S.p.A</w:t>
      </w:r>
      <w:proofErr w:type="spellEnd"/>
      <w:r w:rsidR="00F53729">
        <w:rPr>
          <w:rFonts w:ascii="Times New Roman" w:hAnsi="Times New Roman" w:cs="Times New Roman"/>
          <w:sz w:val="24"/>
          <w:szCs w:val="24"/>
          <w:lang w:val="en-US"/>
        </w:rPr>
        <w:t>., Milano)</w:t>
      </w:r>
      <w:r w:rsidRPr="000477F3">
        <w:rPr>
          <w:rFonts w:ascii="Times New Roman" w:hAnsi="Times New Roman" w:cs="Times New Roman"/>
          <w:sz w:val="24"/>
          <w:szCs w:val="24"/>
          <w:lang w:val="en-US"/>
        </w:rPr>
        <w:t>. It was analyzed the allegations of injury presented to three years (2006, 2007 and 2008). For each injury was defined:</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1. </w:t>
      </w:r>
      <w:r w:rsidRPr="000477F3">
        <w:rPr>
          <w:rFonts w:ascii="Times New Roman" w:hAnsi="Times New Roman" w:cs="Times New Roman"/>
          <w:i/>
          <w:sz w:val="24"/>
          <w:szCs w:val="24"/>
          <w:lang w:val="en-US"/>
        </w:rPr>
        <w:t>the environment</w:t>
      </w:r>
      <w:r w:rsidRPr="000477F3">
        <w:rPr>
          <w:rFonts w:ascii="Times New Roman" w:hAnsi="Times New Roman" w:cs="Times New Roman"/>
          <w:sz w:val="24"/>
          <w:szCs w:val="24"/>
          <w:lang w:val="en-US"/>
        </w:rPr>
        <w:t>: the place where the accident occurred, specifying the exact location (kitchen, dressing room, washing area, hallway, elevator, stairs, cold room, administrative offices, storage). The injury was classified as ongoing, when it occurred while the employee was traveling to work or while driving home after work.</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2. </w:t>
      </w:r>
      <w:r w:rsidRPr="000477F3">
        <w:rPr>
          <w:rFonts w:ascii="Times New Roman" w:hAnsi="Times New Roman" w:cs="Times New Roman"/>
          <w:i/>
          <w:sz w:val="24"/>
          <w:szCs w:val="24"/>
          <w:lang w:val="en-US"/>
        </w:rPr>
        <w:t>the fact</w:t>
      </w:r>
      <w:r w:rsidRPr="000477F3">
        <w:rPr>
          <w:rFonts w:ascii="Times New Roman" w:hAnsi="Times New Roman" w:cs="Times New Roman"/>
          <w:sz w:val="24"/>
          <w:szCs w:val="24"/>
          <w:lang w:val="en-US"/>
        </w:rPr>
        <w:t>: understood as the activity of the injured at the time of the occurrence of the accident, it is useful to understand how the accident and then classify the equipment.</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3. </w:t>
      </w:r>
      <w:r w:rsidRPr="000477F3">
        <w:rPr>
          <w:rFonts w:ascii="Times New Roman" w:hAnsi="Times New Roman" w:cs="Times New Roman"/>
          <w:i/>
          <w:sz w:val="24"/>
          <w:szCs w:val="24"/>
          <w:lang w:val="en-US"/>
        </w:rPr>
        <w:t>the equipment</w:t>
      </w:r>
      <w:r w:rsidRPr="000477F3">
        <w:rPr>
          <w:rFonts w:ascii="Times New Roman" w:hAnsi="Times New Roman" w:cs="Times New Roman"/>
          <w:sz w:val="24"/>
          <w:szCs w:val="24"/>
          <w:lang w:val="en-US"/>
        </w:rPr>
        <w:t>: in case the damage was caused by an apparatus. Is has been classified as equipment including crockery, chopping, cleaning products, tables and knives, as well as the classic equipment used in restaurants as the slicer, the trolley, the kettle, a potato peeler, etc. ..</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4. </w:t>
      </w:r>
      <w:r w:rsidRPr="000477F3">
        <w:rPr>
          <w:rFonts w:ascii="Times New Roman" w:hAnsi="Times New Roman" w:cs="Times New Roman"/>
          <w:i/>
          <w:sz w:val="24"/>
          <w:szCs w:val="24"/>
          <w:lang w:val="en-US"/>
        </w:rPr>
        <w:t>the damage</w:t>
      </w:r>
      <w:r w:rsidRPr="000477F3">
        <w:rPr>
          <w:rFonts w:ascii="Times New Roman" w:hAnsi="Times New Roman" w:cs="Times New Roman"/>
          <w:sz w:val="24"/>
          <w:szCs w:val="24"/>
          <w:lang w:val="en-US"/>
        </w:rPr>
        <w:t>: namely whether it is a burn, cut, bruise, trauma, injury, contact with chemicals, fracture, low back compression, distortion, etc. ..</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5. </w:t>
      </w:r>
      <w:r w:rsidRPr="000477F3">
        <w:rPr>
          <w:rFonts w:ascii="Times New Roman" w:hAnsi="Times New Roman" w:cs="Times New Roman"/>
          <w:i/>
          <w:sz w:val="24"/>
          <w:szCs w:val="24"/>
          <w:lang w:val="en-US"/>
        </w:rPr>
        <w:t>day of prognosis</w:t>
      </w:r>
      <w:r w:rsidRPr="000477F3">
        <w:rPr>
          <w:rFonts w:ascii="Times New Roman" w:hAnsi="Times New Roman" w:cs="Times New Roman"/>
          <w:sz w:val="24"/>
          <w:szCs w:val="24"/>
          <w:lang w:val="en-US"/>
        </w:rPr>
        <w:t>: is the time that the worker had to abstain from work, so as to give an idea of ​​how serious the injury was.</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It was made graphs that have allowed to compare annual trends and the influences of individual parameters. Another analysis that was conducted is the correlation between the number of accidents and days devoted to training for the prevention of accidents in the professional kitchen. In the work on the analysis of equipment have been observed in cases where an injury has been caused by the use of an apparatus, have been taken into account in the days of the severity and prognosis for the number of injuries resulting from the use of that specific equipment, for the probability. And the type of damage caused to define the danger to which it refers. In doing so it defines the specific risk </w:t>
      </w:r>
      <w:r w:rsidRPr="000477F3">
        <w:rPr>
          <w:rFonts w:ascii="Times New Roman" w:hAnsi="Times New Roman" w:cs="Times New Roman"/>
          <w:sz w:val="24"/>
          <w:szCs w:val="24"/>
          <w:lang w:val="en-US"/>
        </w:rPr>
        <w:lastRenderedPageBreak/>
        <w:t>of any hazards observed, to give, when assessing the degree of specific risk of each hazard. First have been defined various dangers that may or may not be present in the use of a specific piece of equipment, these are:</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danger of cutting \ wound;</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Burn Hazard;</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danger of stumbling \ fall;</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electrical hazards;</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Hazards due to loss of stability of the equipment;</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danger of being crushed.</w:t>
      </w:r>
    </w:p>
    <w:p w:rsidR="000C3209" w:rsidRPr="000477F3" w:rsidRDefault="000C3209" w:rsidP="000C3209">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Once it has defined what dangers may arise from the use of protective gear were assigned scores from 1 to 4 for the probability and severity of the damage, following the steps on Tables 1 and 2. Scores are given by observing the number of cases of injury occurred in the three years analyzed for the probability, and the same day prognosis for gravity.</w:t>
      </w:r>
    </w:p>
    <w:p w:rsidR="000C3209" w:rsidRPr="000477F3" w:rsidRDefault="000C3209" w:rsidP="00B35393">
      <w:pPr>
        <w:spacing w:after="0" w:line="240" w:lineRule="auto"/>
        <w:jc w:val="center"/>
        <w:rPr>
          <w:rFonts w:ascii="Times New Roman" w:hAnsi="Times New Roman" w:cs="Times New Roman"/>
          <w:sz w:val="24"/>
          <w:szCs w:val="24"/>
          <w:lang w:val="en-US"/>
        </w:rPr>
      </w:pPr>
    </w:p>
    <w:p w:rsidR="00856CDB" w:rsidRPr="000477F3" w:rsidRDefault="00FE72AE" w:rsidP="00B35393">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Table 1</w:t>
      </w:r>
      <w:r w:rsidRPr="000477F3">
        <w:rPr>
          <w:rFonts w:ascii="Times New Roman" w:hAnsi="Times New Roman" w:cs="Times New Roman"/>
          <w:sz w:val="24"/>
          <w:szCs w:val="24"/>
          <w:lang w:val="en-US"/>
        </w:rPr>
        <w:t xml:space="preserve"> - Severity of the damage</w:t>
      </w:r>
    </w:p>
    <w:tbl>
      <w:tblPr>
        <w:tblW w:w="7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0"/>
        <w:gridCol w:w="1265"/>
        <w:gridCol w:w="5114"/>
      </w:tblGrid>
      <w:tr w:rsidR="00856CDB" w:rsidRPr="005804E4" w:rsidTr="006A37C4">
        <w:trPr>
          <w:trHeight w:val="242"/>
          <w:jc w:val="center"/>
        </w:trPr>
        <w:tc>
          <w:tcPr>
            <w:tcW w:w="7229" w:type="dxa"/>
            <w:gridSpan w:val="3"/>
            <w:shd w:val="clear" w:color="auto" w:fill="auto"/>
            <w:hideMark/>
          </w:tcPr>
          <w:p w:rsidR="00856CDB" w:rsidRPr="000477F3" w:rsidRDefault="00FE72AE" w:rsidP="00FE72AE">
            <w:pPr>
              <w:spacing w:after="0" w:line="240" w:lineRule="auto"/>
              <w:jc w:val="center"/>
              <w:rPr>
                <w:rFonts w:ascii="Times New Roman" w:hAnsi="Times New Roman" w:cs="Times New Roman"/>
                <w:b/>
                <w:bCs/>
                <w:caps/>
                <w:color w:val="000000"/>
                <w:sz w:val="24"/>
                <w:szCs w:val="24"/>
                <w:lang w:val="en-US"/>
              </w:rPr>
            </w:pPr>
            <w:r w:rsidRPr="000477F3">
              <w:rPr>
                <w:rFonts w:ascii="Times New Roman" w:hAnsi="Times New Roman" w:cs="Times New Roman"/>
                <w:b/>
                <w:bCs/>
                <w:caps/>
                <w:color w:val="000000"/>
                <w:sz w:val="24"/>
                <w:szCs w:val="24"/>
                <w:lang w:val="en-US"/>
              </w:rPr>
              <w:t>Severity of the demage (S)</w:t>
            </w:r>
          </w:p>
        </w:tc>
      </w:tr>
      <w:tr w:rsidR="00856CDB" w:rsidRPr="000477F3" w:rsidTr="006A37C4">
        <w:trPr>
          <w:trHeight w:val="246"/>
          <w:jc w:val="center"/>
        </w:trPr>
        <w:tc>
          <w:tcPr>
            <w:tcW w:w="850" w:type="dxa"/>
            <w:shd w:val="clear" w:color="auto" w:fill="auto"/>
            <w:hideMark/>
          </w:tcPr>
          <w:p w:rsidR="00856CDB" w:rsidRPr="000477F3" w:rsidRDefault="00FE72AE" w:rsidP="00B35393">
            <w:pPr>
              <w:spacing w:after="0" w:line="240" w:lineRule="auto"/>
              <w:jc w:val="center"/>
              <w:rPr>
                <w:rFonts w:ascii="Times New Roman" w:hAnsi="Times New Roman" w:cs="Times New Roman"/>
                <w:b/>
                <w:bCs/>
                <w:color w:val="000000"/>
                <w:sz w:val="24"/>
                <w:szCs w:val="24"/>
                <w:lang w:val="en-US"/>
              </w:rPr>
            </w:pPr>
            <w:r w:rsidRPr="000477F3">
              <w:rPr>
                <w:rFonts w:ascii="Times New Roman" w:hAnsi="Times New Roman" w:cs="Times New Roman"/>
                <w:b/>
                <w:bCs/>
                <w:color w:val="000000"/>
                <w:sz w:val="24"/>
                <w:szCs w:val="24"/>
                <w:lang w:val="en-US"/>
              </w:rPr>
              <w:t>Value</w:t>
            </w:r>
          </w:p>
        </w:tc>
        <w:tc>
          <w:tcPr>
            <w:tcW w:w="1265" w:type="dxa"/>
            <w:shd w:val="clear" w:color="auto" w:fill="auto"/>
            <w:hideMark/>
          </w:tcPr>
          <w:p w:rsidR="00856CDB" w:rsidRPr="000477F3" w:rsidRDefault="00FE72AE" w:rsidP="00B35393">
            <w:pPr>
              <w:spacing w:after="0" w:line="240" w:lineRule="auto"/>
              <w:jc w:val="center"/>
              <w:rPr>
                <w:rFonts w:ascii="Times New Roman" w:hAnsi="Times New Roman" w:cs="Times New Roman"/>
                <w:b/>
                <w:bCs/>
                <w:color w:val="000000"/>
                <w:sz w:val="24"/>
                <w:szCs w:val="24"/>
                <w:lang w:val="en-US"/>
              </w:rPr>
            </w:pPr>
            <w:r w:rsidRPr="000477F3">
              <w:rPr>
                <w:rFonts w:ascii="Times New Roman" w:hAnsi="Times New Roman" w:cs="Times New Roman"/>
                <w:b/>
                <w:bCs/>
                <w:color w:val="000000"/>
                <w:sz w:val="24"/>
                <w:szCs w:val="24"/>
                <w:lang w:val="en-US"/>
              </w:rPr>
              <w:t>Level</w:t>
            </w:r>
          </w:p>
        </w:tc>
        <w:tc>
          <w:tcPr>
            <w:tcW w:w="5114" w:type="dxa"/>
            <w:shd w:val="clear" w:color="auto" w:fill="auto"/>
            <w:hideMark/>
          </w:tcPr>
          <w:p w:rsidR="00856CDB" w:rsidRPr="000477F3" w:rsidRDefault="00FE72AE" w:rsidP="00093B6F">
            <w:pPr>
              <w:spacing w:after="0" w:line="240" w:lineRule="auto"/>
              <w:jc w:val="both"/>
              <w:rPr>
                <w:rFonts w:ascii="Times New Roman" w:hAnsi="Times New Roman" w:cs="Times New Roman"/>
                <w:b/>
                <w:bCs/>
                <w:color w:val="000000"/>
                <w:sz w:val="24"/>
                <w:szCs w:val="24"/>
                <w:lang w:val="en-US"/>
              </w:rPr>
            </w:pPr>
            <w:r w:rsidRPr="000477F3">
              <w:rPr>
                <w:rFonts w:ascii="Times New Roman" w:hAnsi="Times New Roman" w:cs="Times New Roman"/>
                <w:b/>
                <w:bCs/>
                <w:color w:val="000000"/>
                <w:sz w:val="24"/>
                <w:szCs w:val="24"/>
                <w:lang w:val="en-US"/>
              </w:rPr>
              <w:t>Identification criteria</w:t>
            </w:r>
          </w:p>
        </w:tc>
      </w:tr>
      <w:tr w:rsidR="00856CDB" w:rsidRPr="005804E4" w:rsidTr="00B35393">
        <w:trPr>
          <w:trHeight w:val="384"/>
          <w:jc w:val="center"/>
        </w:trPr>
        <w:tc>
          <w:tcPr>
            <w:tcW w:w="850" w:type="dxa"/>
            <w:shd w:val="clear" w:color="auto" w:fill="auto"/>
            <w:hideMark/>
          </w:tcPr>
          <w:p w:rsidR="00856CDB" w:rsidRPr="000477F3" w:rsidRDefault="00856CDB" w:rsidP="00B35393">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1</w:t>
            </w:r>
          </w:p>
        </w:tc>
        <w:tc>
          <w:tcPr>
            <w:tcW w:w="1265" w:type="dxa"/>
            <w:shd w:val="clear" w:color="auto" w:fill="auto"/>
            <w:hideMark/>
          </w:tcPr>
          <w:p w:rsidR="00856CDB" w:rsidRPr="000477F3" w:rsidRDefault="00FE72AE" w:rsidP="00FE72AE">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Slightly</w:t>
            </w:r>
          </w:p>
        </w:tc>
        <w:tc>
          <w:tcPr>
            <w:tcW w:w="5114" w:type="dxa"/>
            <w:shd w:val="clear" w:color="auto" w:fill="auto"/>
            <w:hideMark/>
          </w:tcPr>
          <w:p w:rsidR="00856CDB" w:rsidRPr="000477F3" w:rsidRDefault="00FE72AE"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Injury or illness, less than 8 days.</w:t>
            </w:r>
          </w:p>
        </w:tc>
      </w:tr>
      <w:tr w:rsidR="00856CDB" w:rsidRPr="005804E4" w:rsidTr="00B35393">
        <w:trPr>
          <w:trHeight w:val="559"/>
          <w:jc w:val="center"/>
        </w:trPr>
        <w:tc>
          <w:tcPr>
            <w:tcW w:w="850" w:type="dxa"/>
            <w:shd w:val="clear" w:color="auto" w:fill="auto"/>
            <w:hideMark/>
          </w:tcPr>
          <w:p w:rsidR="00856CDB" w:rsidRPr="000477F3" w:rsidRDefault="00856CDB" w:rsidP="00B35393">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2</w:t>
            </w:r>
          </w:p>
        </w:tc>
        <w:tc>
          <w:tcPr>
            <w:tcW w:w="1265" w:type="dxa"/>
            <w:shd w:val="clear" w:color="auto" w:fill="auto"/>
            <w:hideMark/>
          </w:tcPr>
          <w:p w:rsidR="00856CDB" w:rsidRPr="000477F3" w:rsidRDefault="00FE72AE" w:rsidP="00B35393">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Medium</w:t>
            </w:r>
          </w:p>
        </w:tc>
        <w:tc>
          <w:tcPr>
            <w:tcW w:w="5114" w:type="dxa"/>
            <w:shd w:val="clear" w:color="auto" w:fill="auto"/>
            <w:hideMark/>
          </w:tcPr>
          <w:p w:rsidR="00FE72AE" w:rsidRPr="000477F3" w:rsidRDefault="00FE72AE"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Injury between 8 and 30 days. Occupational disease with reversible effects</w:t>
            </w:r>
          </w:p>
        </w:tc>
      </w:tr>
      <w:tr w:rsidR="00856CDB" w:rsidRPr="005804E4" w:rsidTr="00B35393">
        <w:trPr>
          <w:trHeight w:val="554"/>
          <w:jc w:val="center"/>
        </w:trPr>
        <w:tc>
          <w:tcPr>
            <w:tcW w:w="850" w:type="dxa"/>
            <w:shd w:val="clear" w:color="auto" w:fill="auto"/>
            <w:hideMark/>
          </w:tcPr>
          <w:p w:rsidR="00856CDB" w:rsidRPr="000477F3" w:rsidRDefault="00856CDB" w:rsidP="00B35393">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3</w:t>
            </w:r>
          </w:p>
        </w:tc>
        <w:tc>
          <w:tcPr>
            <w:tcW w:w="1265" w:type="dxa"/>
            <w:shd w:val="clear" w:color="auto" w:fill="auto"/>
            <w:hideMark/>
          </w:tcPr>
          <w:p w:rsidR="00856CDB" w:rsidRPr="000477F3" w:rsidRDefault="00FE72AE" w:rsidP="00B35393">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Serious</w:t>
            </w:r>
          </w:p>
        </w:tc>
        <w:tc>
          <w:tcPr>
            <w:tcW w:w="5114" w:type="dxa"/>
            <w:shd w:val="clear" w:color="auto" w:fill="auto"/>
            <w:hideMark/>
          </w:tcPr>
          <w:p w:rsidR="00FE72AE" w:rsidRPr="000477F3" w:rsidRDefault="00FE72AE"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Injury over 30 days. Occupational disease with irreversible effects</w:t>
            </w:r>
          </w:p>
        </w:tc>
      </w:tr>
      <w:tr w:rsidR="00856CDB" w:rsidRPr="005804E4" w:rsidTr="00B35393">
        <w:trPr>
          <w:trHeight w:val="561"/>
          <w:jc w:val="center"/>
        </w:trPr>
        <w:tc>
          <w:tcPr>
            <w:tcW w:w="850" w:type="dxa"/>
            <w:shd w:val="clear" w:color="auto" w:fill="auto"/>
            <w:hideMark/>
          </w:tcPr>
          <w:p w:rsidR="00856CDB" w:rsidRPr="000477F3" w:rsidRDefault="00856CDB" w:rsidP="00B35393">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4</w:t>
            </w:r>
          </w:p>
        </w:tc>
        <w:tc>
          <w:tcPr>
            <w:tcW w:w="1265" w:type="dxa"/>
            <w:shd w:val="clear" w:color="auto" w:fill="auto"/>
            <w:hideMark/>
          </w:tcPr>
          <w:p w:rsidR="00856CDB" w:rsidRPr="000477F3" w:rsidRDefault="00FE72AE" w:rsidP="00B35393">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More serious</w:t>
            </w:r>
          </w:p>
        </w:tc>
        <w:tc>
          <w:tcPr>
            <w:tcW w:w="5114" w:type="dxa"/>
            <w:shd w:val="clear" w:color="auto" w:fill="auto"/>
            <w:hideMark/>
          </w:tcPr>
          <w:p w:rsidR="00FE72AE" w:rsidRPr="000477F3" w:rsidRDefault="00FE72AE"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Fatal accident. Occupational disease with lethal or totally disabling.</w:t>
            </w:r>
          </w:p>
        </w:tc>
      </w:tr>
    </w:tbl>
    <w:p w:rsidR="00856CDB" w:rsidRPr="000477F3" w:rsidRDefault="00856CDB" w:rsidP="00093B6F">
      <w:pPr>
        <w:spacing w:after="0" w:line="240" w:lineRule="auto"/>
        <w:jc w:val="both"/>
        <w:rPr>
          <w:rFonts w:ascii="Times New Roman" w:hAnsi="Times New Roman" w:cs="Times New Roman"/>
          <w:sz w:val="24"/>
          <w:szCs w:val="24"/>
          <w:lang w:val="en-US"/>
        </w:rPr>
      </w:pPr>
    </w:p>
    <w:p w:rsidR="00856CDB" w:rsidRPr="000477F3" w:rsidRDefault="00FE72AE" w:rsidP="00B35393">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Table 2</w:t>
      </w:r>
      <w:r w:rsidRPr="000477F3">
        <w:rPr>
          <w:rFonts w:ascii="Times New Roman" w:hAnsi="Times New Roman" w:cs="Times New Roman"/>
          <w:sz w:val="24"/>
          <w:szCs w:val="24"/>
          <w:lang w:val="en-US"/>
        </w:rPr>
        <w:t xml:space="preserve"> - Probability of damage</w:t>
      </w:r>
    </w:p>
    <w:tbl>
      <w:tblPr>
        <w:tblW w:w="7371" w:type="dxa"/>
        <w:jc w:val="center"/>
        <w:tblCellMar>
          <w:left w:w="70" w:type="dxa"/>
          <w:right w:w="70" w:type="dxa"/>
        </w:tblCellMar>
        <w:tblLook w:val="04A0" w:firstRow="1" w:lastRow="0" w:firstColumn="1" w:lastColumn="0" w:noHBand="0" w:noVBand="1"/>
      </w:tblPr>
      <w:tblGrid>
        <w:gridCol w:w="852"/>
        <w:gridCol w:w="1416"/>
        <w:gridCol w:w="5103"/>
      </w:tblGrid>
      <w:tr w:rsidR="00856CDB" w:rsidRPr="000477F3" w:rsidTr="006A37C4">
        <w:trPr>
          <w:trHeight w:val="277"/>
          <w:jc w:val="center"/>
        </w:trPr>
        <w:tc>
          <w:tcPr>
            <w:tcW w:w="7371" w:type="dxa"/>
            <w:gridSpan w:val="3"/>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FE72AE" w:rsidP="00FE72AE">
            <w:pPr>
              <w:spacing w:after="0" w:line="240" w:lineRule="auto"/>
              <w:jc w:val="center"/>
              <w:rPr>
                <w:rFonts w:ascii="Times New Roman" w:hAnsi="Times New Roman" w:cs="Times New Roman"/>
                <w:b/>
                <w:bCs/>
                <w:color w:val="000000"/>
                <w:sz w:val="24"/>
                <w:szCs w:val="24"/>
                <w:lang w:val="en-US"/>
              </w:rPr>
            </w:pPr>
            <w:r w:rsidRPr="000477F3">
              <w:rPr>
                <w:rFonts w:ascii="Times New Roman" w:hAnsi="Times New Roman" w:cs="Times New Roman"/>
                <w:b/>
                <w:bCs/>
                <w:color w:val="000000"/>
                <w:sz w:val="24"/>
                <w:szCs w:val="24"/>
                <w:lang w:val="en-US"/>
              </w:rPr>
              <w:t>PROBABILITY</w:t>
            </w:r>
            <w:r w:rsidR="00856CDB" w:rsidRPr="000477F3">
              <w:rPr>
                <w:rFonts w:ascii="Times New Roman" w:hAnsi="Times New Roman" w:cs="Times New Roman"/>
                <w:b/>
                <w:bCs/>
                <w:color w:val="000000"/>
                <w:sz w:val="24"/>
                <w:szCs w:val="24"/>
                <w:lang w:val="en-US"/>
              </w:rPr>
              <w:t xml:space="preserve">’ (P) </w:t>
            </w:r>
            <w:r w:rsidRPr="000477F3">
              <w:rPr>
                <w:rFonts w:ascii="Times New Roman" w:hAnsi="Times New Roman" w:cs="Times New Roman"/>
                <w:b/>
                <w:bCs/>
                <w:color w:val="000000"/>
                <w:sz w:val="24"/>
                <w:szCs w:val="24"/>
                <w:lang w:val="en-US"/>
              </w:rPr>
              <w:t>OF DEMAGE</w:t>
            </w:r>
          </w:p>
        </w:tc>
      </w:tr>
      <w:tr w:rsidR="00856CDB" w:rsidRPr="000477F3" w:rsidTr="006A37C4">
        <w:trPr>
          <w:trHeight w:val="282"/>
          <w:jc w:val="center"/>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6A37C4" w:rsidP="006A37C4">
            <w:pPr>
              <w:spacing w:after="0" w:line="240" w:lineRule="auto"/>
              <w:jc w:val="center"/>
              <w:rPr>
                <w:rFonts w:ascii="Times New Roman" w:hAnsi="Times New Roman" w:cs="Times New Roman"/>
                <w:b/>
                <w:bCs/>
                <w:color w:val="000000"/>
                <w:sz w:val="24"/>
                <w:szCs w:val="24"/>
                <w:lang w:val="en-US"/>
              </w:rPr>
            </w:pPr>
            <w:r w:rsidRPr="000477F3">
              <w:rPr>
                <w:rFonts w:ascii="Times New Roman" w:hAnsi="Times New Roman" w:cs="Times New Roman"/>
                <w:b/>
                <w:bCs/>
                <w:color w:val="000000"/>
                <w:sz w:val="24"/>
                <w:szCs w:val="24"/>
                <w:lang w:val="en-US"/>
              </w:rPr>
              <w:t>Value</w:t>
            </w:r>
          </w:p>
        </w:tc>
        <w:tc>
          <w:tcPr>
            <w:tcW w:w="1416"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6A37C4" w:rsidP="006A37C4">
            <w:pPr>
              <w:spacing w:after="0" w:line="240" w:lineRule="auto"/>
              <w:jc w:val="center"/>
              <w:rPr>
                <w:rFonts w:ascii="Times New Roman" w:hAnsi="Times New Roman" w:cs="Times New Roman"/>
                <w:b/>
                <w:bCs/>
                <w:color w:val="000000"/>
                <w:sz w:val="24"/>
                <w:szCs w:val="24"/>
                <w:lang w:val="en-US"/>
              </w:rPr>
            </w:pPr>
            <w:r w:rsidRPr="000477F3">
              <w:rPr>
                <w:rFonts w:ascii="Times New Roman" w:hAnsi="Times New Roman" w:cs="Times New Roman"/>
                <w:b/>
                <w:bCs/>
                <w:color w:val="000000"/>
                <w:sz w:val="24"/>
                <w:szCs w:val="24"/>
                <w:lang w:val="en-US"/>
              </w:rPr>
              <w:t>Level</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6A37C4" w:rsidP="00093B6F">
            <w:pPr>
              <w:spacing w:after="0" w:line="240" w:lineRule="auto"/>
              <w:jc w:val="both"/>
              <w:rPr>
                <w:rFonts w:ascii="Times New Roman" w:hAnsi="Times New Roman" w:cs="Times New Roman"/>
                <w:b/>
                <w:bCs/>
                <w:color w:val="000000"/>
                <w:sz w:val="24"/>
                <w:szCs w:val="24"/>
                <w:lang w:val="en-US"/>
              </w:rPr>
            </w:pPr>
            <w:r w:rsidRPr="000477F3">
              <w:rPr>
                <w:rFonts w:ascii="Times New Roman" w:hAnsi="Times New Roman" w:cs="Times New Roman"/>
                <w:b/>
                <w:bCs/>
                <w:color w:val="000000"/>
                <w:sz w:val="24"/>
                <w:szCs w:val="24"/>
                <w:lang w:val="en-US"/>
              </w:rPr>
              <w:t>Identification criteria</w:t>
            </w:r>
          </w:p>
        </w:tc>
      </w:tr>
      <w:tr w:rsidR="00856CDB" w:rsidRPr="000477F3" w:rsidTr="006A37C4">
        <w:trPr>
          <w:trHeight w:val="673"/>
          <w:jc w:val="center"/>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856CDB"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1</w:t>
            </w:r>
          </w:p>
        </w:tc>
        <w:tc>
          <w:tcPr>
            <w:tcW w:w="1416" w:type="dxa"/>
            <w:tcBorders>
              <w:top w:val="single" w:sz="4" w:space="0" w:color="auto"/>
              <w:left w:val="single" w:sz="4" w:space="0" w:color="auto"/>
              <w:bottom w:val="single" w:sz="4" w:space="0" w:color="auto"/>
              <w:right w:val="single" w:sz="4" w:space="0" w:color="auto"/>
            </w:tcBorders>
            <w:shd w:val="clear" w:color="auto" w:fill="auto"/>
            <w:hideMark/>
          </w:tcPr>
          <w:p w:rsidR="00FE72AE" w:rsidRPr="000477F3" w:rsidRDefault="00FE72AE"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Possible</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6A37C4"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The observed situation is such as to cause damage only after the occurrence of unforeseen circumstances. You are not aware of similar events</w:t>
            </w:r>
            <w:r w:rsidR="00856CDB" w:rsidRPr="000477F3">
              <w:rPr>
                <w:rFonts w:ascii="Times New Roman" w:hAnsi="Times New Roman" w:cs="Times New Roman"/>
                <w:color w:val="000000"/>
                <w:sz w:val="24"/>
                <w:szCs w:val="24"/>
                <w:lang w:val="en-US"/>
              </w:rPr>
              <w:t xml:space="preserve"> </w:t>
            </w:r>
          </w:p>
        </w:tc>
      </w:tr>
      <w:tr w:rsidR="00856CDB" w:rsidRPr="005804E4" w:rsidTr="006A37C4">
        <w:trPr>
          <w:trHeight w:val="604"/>
          <w:jc w:val="center"/>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856CDB"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2</w:t>
            </w:r>
          </w:p>
        </w:tc>
        <w:tc>
          <w:tcPr>
            <w:tcW w:w="1416"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FE72AE"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Unlikely</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rsidR="006A37C4" w:rsidRPr="000477F3" w:rsidRDefault="006A37C4"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Its occurrence would require uncommon circumstances. Similar events have already occurred.</w:t>
            </w:r>
          </w:p>
        </w:tc>
      </w:tr>
      <w:tr w:rsidR="00856CDB" w:rsidRPr="005804E4" w:rsidTr="006A37C4">
        <w:trPr>
          <w:trHeight w:val="556"/>
          <w:jc w:val="center"/>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856CDB" w:rsidRPr="000477F3" w:rsidRDefault="00856CDB"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3</w:t>
            </w:r>
          </w:p>
        </w:tc>
        <w:tc>
          <w:tcPr>
            <w:tcW w:w="1416" w:type="dxa"/>
            <w:tcBorders>
              <w:top w:val="single" w:sz="4" w:space="0" w:color="auto"/>
              <w:left w:val="single" w:sz="4" w:space="0" w:color="auto"/>
              <w:bottom w:val="single" w:sz="4" w:space="0" w:color="auto"/>
              <w:right w:val="single" w:sz="4" w:space="0" w:color="auto"/>
            </w:tcBorders>
            <w:shd w:val="clear" w:color="auto" w:fill="auto"/>
            <w:hideMark/>
          </w:tcPr>
          <w:p w:rsidR="00FE72AE" w:rsidRPr="000477F3" w:rsidRDefault="00FE72AE"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Likely</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rsidR="006A37C4" w:rsidRPr="000477F3" w:rsidRDefault="006A37C4"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There were similar facts. Its occurrence would not provoke surprise.</w:t>
            </w:r>
          </w:p>
        </w:tc>
      </w:tr>
      <w:tr w:rsidR="00856CDB" w:rsidRPr="005804E4" w:rsidTr="006A37C4">
        <w:trPr>
          <w:trHeight w:val="270"/>
          <w:jc w:val="center"/>
        </w:trPr>
        <w:tc>
          <w:tcPr>
            <w:tcW w:w="852" w:type="dxa"/>
            <w:tcBorders>
              <w:top w:val="single" w:sz="4" w:space="0" w:color="auto"/>
              <w:left w:val="single" w:sz="8" w:space="0" w:color="auto"/>
              <w:bottom w:val="single" w:sz="8" w:space="0" w:color="auto"/>
              <w:right w:val="single" w:sz="8" w:space="0" w:color="auto"/>
            </w:tcBorders>
            <w:shd w:val="clear" w:color="auto" w:fill="auto"/>
            <w:hideMark/>
          </w:tcPr>
          <w:p w:rsidR="00856CDB" w:rsidRPr="000477F3" w:rsidRDefault="00856CDB"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4</w:t>
            </w:r>
          </w:p>
        </w:tc>
        <w:tc>
          <w:tcPr>
            <w:tcW w:w="1416" w:type="dxa"/>
            <w:tcBorders>
              <w:top w:val="single" w:sz="4" w:space="0" w:color="auto"/>
              <w:left w:val="nil"/>
              <w:bottom w:val="single" w:sz="8" w:space="0" w:color="auto"/>
              <w:right w:val="single" w:sz="8" w:space="0" w:color="auto"/>
            </w:tcBorders>
            <w:shd w:val="clear" w:color="auto" w:fill="auto"/>
            <w:hideMark/>
          </w:tcPr>
          <w:p w:rsidR="00856CDB" w:rsidRPr="000477F3" w:rsidRDefault="006A37C4" w:rsidP="006A37C4">
            <w:pPr>
              <w:spacing w:after="0" w:line="240" w:lineRule="auto"/>
              <w:jc w:val="center"/>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Very Likely</w:t>
            </w:r>
          </w:p>
        </w:tc>
        <w:tc>
          <w:tcPr>
            <w:tcW w:w="5103" w:type="dxa"/>
            <w:tcBorders>
              <w:top w:val="single" w:sz="4" w:space="0" w:color="auto"/>
              <w:left w:val="nil"/>
              <w:bottom w:val="single" w:sz="8" w:space="0" w:color="auto"/>
              <w:right w:val="single" w:sz="8" w:space="0" w:color="auto"/>
            </w:tcBorders>
            <w:shd w:val="clear" w:color="auto" w:fill="auto"/>
            <w:hideMark/>
          </w:tcPr>
          <w:p w:rsidR="006A37C4" w:rsidRPr="000477F3" w:rsidRDefault="006A37C4" w:rsidP="00093B6F">
            <w:pPr>
              <w:spacing w:after="0" w:line="240" w:lineRule="auto"/>
              <w:jc w:val="both"/>
              <w:rPr>
                <w:rFonts w:ascii="Times New Roman" w:hAnsi="Times New Roman" w:cs="Times New Roman"/>
                <w:color w:val="000000"/>
                <w:sz w:val="24"/>
                <w:szCs w:val="24"/>
                <w:lang w:val="en-US"/>
              </w:rPr>
            </w:pPr>
            <w:r w:rsidRPr="000477F3">
              <w:rPr>
                <w:rFonts w:ascii="Times New Roman" w:hAnsi="Times New Roman" w:cs="Times New Roman"/>
                <w:color w:val="000000"/>
                <w:sz w:val="24"/>
                <w:szCs w:val="24"/>
                <w:lang w:val="en-US"/>
              </w:rPr>
              <w:t>Its occurrence is almost taken for granted.</w:t>
            </w:r>
          </w:p>
        </w:tc>
      </w:tr>
    </w:tbl>
    <w:p w:rsidR="00856CDB" w:rsidRPr="000477F3" w:rsidRDefault="00856CDB" w:rsidP="00093B6F">
      <w:pPr>
        <w:spacing w:after="0" w:line="240" w:lineRule="auto"/>
        <w:jc w:val="both"/>
        <w:rPr>
          <w:rFonts w:ascii="Times New Roman" w:hAnsi="Times New Roman" w:cs="Times New Roman"/>
          <w:sz w:val="24"/>
          <w:szCs w:val="24"/>
          <w:lang w:val="en-US"/>
        </w:rPr>
      </w:pPr>
    </w:p>
    <w:p w:rsidR="00B20644" w:rsidRPr="000477F3" w:rsidRDefault="0068610B"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The graphs</w:t>
      </w:r>
      <w:r w:rsidR="008708AB" w:rsidRPr="000477F3">
        <w:rPr>
          <w:rFonts w:ascii="Times New Roman" w:hAnsi="Times New Roman" w:cs="Times New Roman"/>
          <w:sz w:val="24"/>
          <w:szCs w:val="24"/>
          <w:lang w:val="en-US"/>
        </w:rPr>
        <w:t xml:space="preserve"> (fig.2)</w:t>
      </w:r>
      <w:r w:rsidRPr="000477F3">
        <w:rPr>
          <w:rFonts w:ascii="Times New Roman" w:hAnsi="Times New Roman" w:cs="Times New Roman"/>
          <w:sz w:val="24"/>
          <w:szCs w:val="24"/>
          <w:lang w:val="en-US"/>
        </w:rPr>
        <w:t xml:space="preserve"> were constructed to have on the abscissa the probability of injury, on the ordinate the severity. Each danger is characterized by a point in the graph whose coordinates are the scores (from 1 to 4) by severity and the probability. The chart is divided into 3 parts as follows:</w:t>
      </w:r>
    </w:p>
    <w:p w:rsidR="008708AB" w:rsidRPr="000477F3" w:rsidRDefault="008708AB" w:rsidP="008708AB">
      <w:pPr>
        <w:spacing w:after="0" w:line="240" w:lineRule="auto"/>
        <w:jc w:val="both"/>
        <w:rPr>
          <w:rFonts w:ascii="Times New Roman" w:hAnsi="Times New Roman" w:cs="Times New Roman"/>
          <w:sz w:val="24"/>
          <w:szCs w:val="24"/>
          <w:lang w:val="en-US" w:eastAsia="it-IT"/>
        </w:rPr>
      </w:pPr>
      <w:r w:rsidRPr="000477F3">
        <w:rPr>
          <w:rFonts w:ascii="Times New Roman" w:hAnsi="Times New Roman" w:cs="Times New Roman"/>
          <w:sz w:val="24"/>
          <w:szCs w:val="24"/>
          <w:lang w:val="en-US" w:eastAsia="it-IT"/>
        </w:rPr>
        <w:t xml:space="preserve">If the point, of a particular danger inherent to its equipment, is located below the limits of acceptability the risk will be said acceptable. In this case will not be necessary to intervene for the improvement of security. </w:t>
      </w:r>
    </w:p>
    <w:p w:rsidR="008708AB" w:rsidRPr="000477F3" w:rsidRDefault="008708AB" w:rsidP="008708AB">
      <w:pPr>
        <w:spacing w:after="0" w:line="240" w:lineRule="auto"/>
        <w:jc w:val="both"/>
        <w:rPr>
          <w:rFonts w:ascii="Times New Roman" w:hAnsi="Times New Roman" w:cs="Times New Roman"/>
          <w:sz w:val="24"/>
          <w:szCs w:val="24"/>
          <w:lang w:val="en-US" w:eastAsia="it-IT"/>
        </w:rPr>
      </w:pPr>
      <w:r w:rsidRPr="000477F3">
        <w:rPr>
          <w:rFonts w:ascii="Times New Roman" w:hAnsi="Times New Roman" w:cs="Times New Roman"/>
          <w:sz w:val="24"/>
          <w:szCs w:val="24"/>
          <w:lang w:val="en-US" w:eastAsia="it-IT"/>
        </w:rPr>
        <w:t xml:space="preserve">If you find the point between the limit of acceptability and tolerability limit the risk that it will be tolerable. In this intermediate zone fall assess those risks for which interventions, not immediate, for the improvement of health and safety. Need to be kept under control. </w:t>
      </w:r>
    </w:p>
    <w:p w:rsidR="008708AB" w:rsidRPr="000477F3" w:rsidRDefault="008708AB" w:rsidP="008708AB">
      <w:pPr>
        <w:spacing w:after="0" w:line="240" w:lineRule="auto"/>
        <w:jc w:val="both"/>
        <w:rPr>
          <w:rFonts w:ascii="Times New Roman" w:hAnsi="Times New Roman" w:cs="Times New Roman"/>
          <w:sz w:val="24"/>
          <w:szCs w:val="24"/>
          <w:lang w:val="en-US" w:eastAsia="it-IT"/>
        </w:rPr>
      </w:pPr>
      <w:r w:rsidRPr="000477F3">
        <w:rPr>
          <w:rFonts w:ascii="Times New Roman" w:hAnsi="Times New Roman" w:cs="Times New Roman"/>
          <w:sz w:val="24"/>
          <w:szCs w:val="24"/>
          <w:lang w:val="en-US" w:eastAsia="it-IT"/>
        </w:rPr>
        <w:t xml:space="preserve">Finally, if the point is above the limit of tolerance is a risk that will be improved, these situations require immediate action to improve safety. In the last part of the work have been highlighted those </w:t>
      </w:r>
      <w:r w:rsidRPr="000477F3">
        <w:rPr>
          <w:rFonts w:ascii="Times New Roman" w:hAnsi="Times New Roman" w:cs="Times New Roman"/>
          <w:sz w:val="24"/>
          <w:szCs w:val="24"/>
          <w:lang w:val="en-US" w:eastAsia="it-IT"/>
        </w:rPr>
        <w:lastRenderedPageBreak/>
        <w:t xml:space="preserve">situations of risk that require immediate action, </w:t>
      </w:r>
      <w:proofErr w:type="spellStart"/>
      <w:r w:rsidRPr="000477F3">
        <w:rPr>
          <w:rFonts w:ascii="Times New Roman" w:hAnsi="Times New Roman" w:cs="Times New Roman"/>
          <w:sz w:val="24"/>
          <w:szCs w:val="24"/>
          <w:lang w:val="en-US" w:eastAsia="it-IT"/>
        </w:rPr>
        <w:t>ie</w:t>
      </w:r>
      <w:proofErr w:type="spellEnd"/>
      <w:r w:rsidRPr="000477F3">
        <w:rPr>
          <w:rFonts w:ascii="Times New Roman" w:hAnsi="Times New Roman" w:cs="Times New Roman"/>
          <w:sz w:val="24"/>
          <w:szCs w:val="24"/>
          <w:lang w:val="en-US" w:eastAsia="it-IT"/>
        </w:rPr>
        <w:t xml:space="preserve"> those that are located above the limit of tolerability. They were then dictated the possible corrective actions to be applied to the system or equipment to improve safety</w:t>
      </w:r>
    </w:p>
    <w:p w:rsidR="005D00EF" w:rsidRPr="000477F3" w:rsidRDefault="005D00EF" w:rsidP="00093B6F">
      <w:pPr>
        <w:spacing w:after="0" w:line="240" w:lineRule="auto"/>
        <w:jc w:val="both"/>
        <w:rPr>
          <w:rFonts w:ascii="Times New Roman" w:hAnsi="Times New Roman" w:cs="Times New Roman"/>
          <w:sz w:val="24"/>
          <w:szCs w:val="24"/>
          <w:lang w:val="en-US"/>
        </w:rPr>
      </w:pPr>
    </w:p>
    <w:p w:rsidR="005D00EF" w:rsidRPr="000477F3" w:rsidRDefault="005D00EF" w:rsidP="005D00EF">
      <w:pPr>
        <w:spacing w:after="0" w:line="240" w:lineRule="auto"/>
        <w:jc w:val="center"/>
        <w:rPr>
          <w:rFonts w:ascii="Times New Roman" w:hAnsi="Times New Roman" w:cs="Times New Roman"/>
          <w:sz w:val="24"/>
          <w:szCs w:val="24"/>
          <w:lang w:val="en-US"/>
        </w:rPr>
      </w:pPr>
      <w:r w:rsidRPr="000477F3">
        <w:rPr>
          <w:noProof/>
          <w:lang w:eastAsia="it-IT"/>
        </w:rPr>
        <w:drawing>
          <wp:inline distT="0" distB="0" distL="0" distR="0" wp14:anchorId="14459E67" wp14:editId="4DDA8AB1">
            <wp:extent cx="4137891" cy="1838036"/>
            <wp:effectExtent l="0" t="0" r="15240" b="10160"/>
            <wp:docPr id="3"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20644" w:rsidRPr="000477F3" w:rsidRDefault="00B20644" w:rsidP="00093B6F">
      <w:pPr>
        <w:spacing w:after="0" w:line="240" w:lineRule="auto"/>
        <w:jc w:val="center"/>
        <w:rPr>
          <w:rFonts w:ascii="Times New Roman" w:hAnsi="Times New Roman" w:cs="Times New Roman"/>
          <w:sz w:val="24"/>
          <w:szCs w:val="24"/>
          <w:lang w:val="en-US"/>
        </w:rPr>
      </w:pPr>
    </w:p>
    <w:p w:rsidR="0005530F" w:rsidRPr="000477F3" w:rsidRDefault="008708AB" w:rsidP="0005530F">
      <w:pPr>
        <w:spacing w:after="0" w:line="240" w:lineRule="auto"/>
        <w:rPr>
          <w:rFonts w:ascii="Times New Roman" w:hAnsi="Times New Roman" w:cs="Times New Roman"/>
          <w:sz w:val="24"/>
          <w:szCs w:val="24"/>
          <w:lang w:val="en-US"/>
        </w:rPr>
      </w:pPr>
      <w:r w:rsidRPr="000477F3">
        <w:rPr>
          <w:rFonts w:ascii="Times New Roman" w:hAnsi="Times New Roman" w:cs="Times New Roman"/>
          <w:b/>
          <w:sz w:val="24"/>
          <w:szCs w:val="24"/>
          <w:lang w:val="en-US"/>
        </w:rPr>
        <w:t>Figure 2</w:t>
      </w:r>
      <w:r w:rsidR="0005530F" w:rsidRPr="000477F3">
        <w:rPr>
          <w:rFonts w:ascii="Times New Roman" w:hAnsi="Times New Roman" w:cs="Times New Roman"/>
          <w:sz w:val="24"/>
          <w:szCs w:val="24"/>
          <w:lang w:val="en-US"/>
        </w:rPr>
        <w:t xml:space="preserve"> – Example of graph that characterizes the equipment in terms of likelihood and severity of risk</w:t>
      </w:r>
    </w:p>
    <w:p w:rsidR="00B20644" w:rsidRPr="000477F3" w:rsidRDefault="00B20644" w:rsidP="00093B6F">
      <w:pPr>
        <w:spacing w:after="0" w:line="240" w:lineRule="auto"/>
        <w:jc w:val="both"/>
        <w:rPr>
          <w:rFonts w:ascii="Times New Roman" w:hAnsi="Times New Roman" w:cs="Times New Roman"/>
          <w:sz w:val="24"/>
          <w:szCs w:val="24"/>
          <w:lang w:val="en-US"/>
        </w:rPr>
      </w:pPr>
    </w:p>
    <w:p w:rsidR="00590183" w:rsidRPr="000477F3" w:rsidRDefault="00590183" w:rsidP="00093B6F">
      <w:pPr>
        <w:spacing w:after="0" w:line="240" w:lineRule="auto"/>
        <w:rPr>
          <w:rFonts w:ascii="Times New Roman" w:hAnsi="Times New Roman" w:cs="Times New Roman"/>
          <w:b/>
          <w:sz w:val="24"/>
          <w:szCs w:val="24"/>
          <w:lang w:val="en-US" w:eastAsia="it-IT"/>
        </w:rPr>
      </w:pPr>
      <w:r w:rsidRPr="000477F3">
        <w:rPr>
          <w:rFonts w:ascii="Times New Roman" w:hAnsi="Times New Roman" w:cs="Times New Roman"/>
          <w:b/>
          <w:sz w:val="24"/>
          <w:szCs w:val="24"/>
          <w:lang w:val="en-US" w:eastAsia="it-IT"/>
        </w:rPr>
        <w:t>Results</w:t>
      </w:r>
    </w:p>
    <w:p w:rsidR="008708AB" w:rsidRPr="000477F3" w:rsidRDefault="008708AB" w:rsidP="00093B6F">
      <w:pPr>
        <w:spacing w:after="0" w:line="240" w:lineRule="auto"/>
        <w:rPr>
          <w:rFonts w:ascii="Times New Roman" w:hAnsi="Times New Roman" w:cs="Times New Roman"/>
          <w:b/>
          <w:sz w:val="24"/>
          <w:szCs w:val="24"/>
          <w:lang w:val="en-US" w:eastAsia="it-IT"/>
        </w:rPr>
      </w:pPr>
    </w:p>
    <w:p w:rsidR="00442FA1" w:rsidRPr="000477F3" w:rsidRDefault="0005530F"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The analysis of the types of accidents and their characterization </w:t>
      </w:r>
      <w:r w:rsidR="00442FA1" w:rsidRPr="000477F3">
        <w:rPr>
          <w:rFonts w:ascii="Times New Roman" w:hAnsi="Times New Roman" w:cs="Times New Roman"/>
          <w:sz w:val="24"/>
          <w:szCs w:val="24"/>
          <w:lang w:val="en-US"/>
        </w:rPr>
        <w:t xml:space="preserve">are shown </w:t>
      </w:r>
      <w:r w:rsidRPr="000477F3">
        <w:rPr>
          <w:rFonts w:ascii="Times New Roman" w:hAnsi="Times New Roman" w:cs="Times New Roman"/>
          <w:sz w:val="24"/>
          <w:szCs w:val="24"/>
          <w:lang w:val="en-US"/>
        </w:rPr>
        <w:t>in</w:t>
      </w:r>
      <w:r w:rsidR="008708AB" w:rsidRPr="000477F3">
        <w:rPr>
          <w:rFonts w:ascii="Times New Roman" w:hAnsi="Times New Roman" w:cs="Times New Roman"/>
          <w:sz w:val="24"/>
          <w:szCs w:val="24"/>
          <w:lang w:val="en-US"/>
        </w:rPr>
        <w:t xml:space="preserve"> the following graphs (Figures 3, 4 and 5</w:t>
      </w:r>
      <w:r w:rsidRPr="000477F3">
        <w:rPr>
          <w:rFonts w:ascii="Times New Roman" w:hAnsi="Times New Roman" w:cs="Times New Roman"/>
          <w:sz w:val="24"/>
          <w:szCs w:val="24"/>
          <w:lang w:val="en-US"/>
        </w:rPr>
        <w:t>) and</w:t>
      </w:r>
      <w:r w:rsidR="00442FA1" w:rsidRPr="000477F3">
        <w:rPr>
          <w:rFonts w:ascii="Times New Roman" w:hAnsi="Times New Roman" w:cs="Times New Roman"/>
          <w:sz w:val="24"/>
          <w:szCs w:val="24"/>
          <w:lang w:val="en-US"/>
        </w:rPr>
        <w:t xml:space="preserve"> it is possible to consider interested</w:t>
      </w:r>
      <w:r w:rsidRPr="000477F3">
        <w:rPr>
          <w:rFonts w:ascii="Times New Roman" w:hAnsi="Times New Roman" w:cs="Times New Roman"/>
          <w:sz w:val="24"/>
          <w:szCs w:val="24"/>
          <w:lang w:val="en-US"/>
        </w:rPr>
        <w:t xml:space="preserve"> dynamics for the management of a safety system for the workplace in the catering. </w:t>
      </w:r>
    </w:p>
    <w:p w:rsidR="0005530F" w:rsidRPr="000477F3" w:rsidRDefault="008708AB"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In particular, Figure 3</w:t>
      </w:r>
      <w:r w:rsidR="0005530F" w:rsidRPr="000477F3">
        <w:rPr>
          <w:rFonts w:ascii="Times New Roman" w:hAnsi="Times New Roman" w:cs="Times New Roman"/>
          <w:sz w:val="24"/>
          <w:szCs w:val="24"/>
          <w:lang w:val="en-US"/>
        </w:rPr>
        <w:t xml:space="preserve"> refers to the analysis of the environment where accidents have occurred: in the kitchen was closed on average 70% of injuries (60% in 2008, where the largest percentage of accidents in other places related to food). Commuting accidents have a share stationary fluctuating between 11% and 13%.</w:t>
      </w:r>
    </w:p>
    <w:p w:rsidR="005E0430" w:rsidRPr="000477F3" w:rsidRDefault="005E0430" w:rsidP="00093B6F">
      <w:pPr>
        <w:spacing w:after="0" w:line="240" w:lineRule="auto"/>
        <w:jc w:val="center"/>
        <w:rPr>
          <w:rFonts w:ascii="Times New Roman" w:hAnsi="Times New Roman" w:cs="Times New Roman"/>
          <w:sz w:val="24"/>
          <w:szCs w:val="24"/>
          <w:lang w:val="en-US"/>
        </w:rPr>
      </w:pPr>
    </w:p>
    <w:p w:rsidR="00442FA1" w:rsidRPr="000477F3" w:rsidRDefault="00442FA1" w:rsidP="00442FA1">
      <w:pPr>
        <w:spacing w:after="0" w:line="240" w:lineRule="auto"/>
        <w:jc w:val="center"/>
        <w:rPr>
          <w:rFonts w:ascii="Times New Roman" w:hAnsi="Times New Roman" w:cs="Times New Roman"/>
          <w:sz w:val="24"/>
          <w:szCs w:val="24"/>
          <w:lang w:val="en-US"/>
        </w:rPr>
      </w:pPr>
      <w:r w:rsidRPr="000477F3">
        <w:rPr>
          <w:noProof/>
          <w:lang w:eastAsia="it-IT"/>
        </w:rPr>
        <w:drawing>
          <wp:inline distT="0" distB="0" distL="0" distR="0" wp14:anchorId="540787C2" wp14:editId="3FF0070D">
            <wp:extent cx="5163128" cy="2193636"/>
            <wp:effectExtent l="0" t="0" r="19050" b="16510"/>
            <wp:docPr id="4"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42FA1" w:rsidRPr="000477F3" w:rsidRDefault="008708AB" w:rsidP="00442FA1">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Figure 3</w:t>
      </w:r>
      <w:r w:rsidR="00442FA1" w:rsidRPr="000477F3">
        <w:rPr>
          <w:rFonts w:ascii="Times New Roman" w:hAnsi="Times New Roman" w:cs="Times New Roman"/>
          <w:sz w:val="24"/>
          <w:szCs w:val="24"/>
          <w:lang w:val="en-US"/>
        </w:rPr>
        <w:t xml:space="preserve"> - The environments in which the accident occurred</w:t>
      </w:r>
    </w:p>
    <w:p w:rsidR="00442FA1" w:rsidRPr="000477F3" w:rsidRDefault="00442FA1" w:rsidP="00093B6F">
      <w:pPr>
        <w:spacing w:after="0" w:line="240" w:lineRule="auto"/>
        <w:jc w:val="both"/>
        <w:rPr>
          <w:rFonts w:ascii="Times New Roman" w:hAnsi="Times New Roman" w:cs="Times New Roman"/>
          <w:sz w:val="24"/>
          <w:szCs w:val="24"/>
          <w:lang w:val="en-US"/>
        </w:rPr>
      </w:pPr>
    </w:p>
    <w:p w:rsidR="00442FA1" w:rsidRPr="000477F3" w:rsidRDefault="00442FA1"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The analys</w:t>
      </w:r>
      <w:r w:rsidR="008708AB" w:rsidRPr="000477F3">
        <w:rPr>
          <w:rFonts w:ascii="Times New Roman" w:hAnsi="Times New Roman" w:cs="Times New Roman"/>
          <w:sz w:val="24"/>
          <w:szCs w:val="24"/>
          <w:lang w:val="en-US"/>
        </w:rPr>
        <w:t>is of the type of damage (Fig. 4</w:t>
      </w:r>
      <w:r w:rsidRPr="000477F3">
        <w:rPr>
          <w:rFonts w:ascii="Times New Roman" w:hAnsi="Times New Roman" w:cs="Times New Roman"/>
          <w:sz w:val="24"/>
          <w:szCs w:val="24"/>
          <w:lang w:val="en-US"/>
        </w:rPr>
        <w:t xml:space="preserve">) showed that the cut appears to have a rate of 23%, with a peak of 25% in 2007. The damage caused by cutting may have many causes, one of all is the use of knives, the use of slicing, the breaking of dishes etc.. The cut has different severity, prognosis can be from 3 days as the prognosis for over 60 days, but most are minor. The fall had a peak with 21% more in 2007, has remained static for the rest of values ​​between 13% and 15%, this damage can be caused by a slippery pavement, wet or uneven, the handling of trolleys; by the impact against equipment such as the table. Falling objects, dishes, pots and pans can cause bruises, their </w:t>
      </w:r>
      <w:r w:rsidRPr="000477F3">
        <w:rPr>
          <w:rFonts w:ascii="Times New Roman" w:hAnsi="Times New Roman" w:cs="Times New Roman"/>
          <w:sz w:val="24"/>
          <w:szCs w:val="24"/>
          <w:lang w:val="en-US"/>
        </w:rPr>
        <w:lastRenderedPageBreak/>
        <w:t>frequency is between 17% and 27% in three years. The burns have a relatively low frequency, whereas an environment like the kitchen, even gravity is usually low with poor outcome that rarely exceed 10 days.</w:t>
      </w:r>
    </w:p>
    <w:p w:rsidR="005E0430" w:rsidRPr="000477F3" w:rsidRDefault="005E0430" w:rsidP="00093B6F">
      <w:pPr>
        <w:spacing w:after="0" w:line="240" w:lineRule="auto"/>
        <w:jc w:val="both"/>
        <w:rPr>
          <w:rFonts w:ascii="Times New Roman" w:hAnsi="Times New Roman" w:cs="Times New Roman"/>
          <w:sz w:val="24"/>
          <w:szCs w:val="24"/>
          <w:lang w:val="en-US"/>
        </w:rPr>
      </w:pPr>
    </w:p>
    <w:p w:rsidR="005E0430" w:rsidRPr="000477F3" w:rsidRDefault="00305538" w:rsidP="00305538">
      <w:pPr>
        <w:spacing w:after="0" w:line="240" w:lineRule="auto"/>
        <w:rPr>
          <w:rFonts w:ascii="Times New Roman" w:hAnsi="Times New Roman" w:cs="Times New Roman"/>
          <w:sz w:val="24"/>
          <w:szCs w:val="24"/>
          <w:lang w:val="en-US"/>
        </w:rPr>
      </w:pPr>
      <w:r w:rsidRPr="000477F3">
        <w:rPr>
          <w:noProof/>
          <w:lang w:eastAsia="it-IT"/>
        </w:rPr>
        <w:drawing>
          <wp:inline distT="0" distB="0" distL="0" distR="0" wp14:anchorId="764B54F0" wp14:editId="43066583">
            <wp:extent cx="5943600" cy="2369127"/>
            <wp:effectExtent l="0" t="0" r="19050" b="12700"/>
            <wp:docPr id="5"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E0430" w:rsidRPr="000477F3" w:rsidRDefault="008708AB" w:rsidP="00305538">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Figure 4</w:t>
      </w:r>
      <w:r w:rsidR="00305538" w:rsidRPr="000477F3">
        <w:rPr>
          <w:rFonts w:ascii="Times New Roman" w:hAnsi="Times New Roman" w:cs="Times New Roman"/>
          <w:sz w:val="24"/>
          <w:szCs w:val="24"/>
          <w:lang w:val="en-US"/>
        </w:rPr>
        <w:t xml:space="preserve"> - Types of damage observed in the three years evaluated</w:t>
      </w:r>
    </w:p>
    <w:p w:rsidR="00305538" w:rsidRPr="000477F3" w:rsidRDefault="00305538" w:rsidP="00093B6F">
      <w:pPr>
        <w:spacing w:after="0" w:line="240" w:lineRule="auto"/>
        <w:jc w:val="both"/>
        <w:rPr>
          <w:rFonts w:ascii="Times New Roman" w:hAnsi="Times New Roman" w:cs="Times New Roman"/>
          <w:sz w:val="24"/>
          <w:szCs w:val="24"/>
          <w:lang w:val="en-US"/>
        </w:rPr>
      </w:pPr>
    </w:p>
    <w:p w:rsidR="00305538" w:rsidRPr="000477F3" w:rsidRDefault="00305538"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Injuries</w:t>
      </w:r>
      <w:r w:rsidR="008708AB" w:rsidRPr="000477F3">
        <w:rPr>
          <w:rFonts w:ascii="Times New Roman" w:hAnsi="Times New Roman" w:cs="Times New Roman"/>
          <w:sz w:val="24"/>
          <w:szCs w:val="24"/>
          <w:lang w:val="en-US"/>
        </w:rPr>
        <w:t xml:space="preserve"> caused by the equipment (Fig. 5</w:t>
      </w:r>
      <w:r w:rsidRPr="000477F3">
        <w:rPr>
          <w:rFonts w:ascii="Times New Roman" w:hAnsi="Times New Roman" w:cs="Times New Roman"/>
          <w:sz w:val="24"/>
          <w:szCs w:val="24"/>
          <w:lang w:val="en-US"/>
        </w:rPr>
        <w:t>) range from 42% in 2008 to 47% in 2006, with 45% in 2007. In all three years the equipment was found to be more dangerous than the knife, the percentages are still declining: from 15% in 2006 to 11% in 2008. The severity of the damage is very variable. The truck has the same trend of the knife, the percentage of accidents caused by this equipment has decreased by 1% each year, however, has values ​​that do not exceed 9%. This equipment due mostly falling damage and by crushing, and, in rare cases, can cause burns in the case where the trolleys are heated. The damage caused by a dish rather an opposite trend compared to the other two facilities analyzed, there is an increase of 1% in three years. The dishes and causing minor damage due to cuts, bruises and burns. The percentage of injuries caused from slicer increased from a maximum of 9% in 2006 to a 5/6% in the other 2 years. This equipment does cause more damage to the cutter, in very rare cases has been found the occurrence of other damages, which are of medium severity. The cleaning products have caused injury mainly in 2008 with a 3%, these products can cause harm by inhalation or contact with eyes.</w:t>
      </w:r>
    </w:p>
    <w:p w:rsidR="005E0430" w:rsidRPr="000477F3" w:rsidRDefault="005E0430" w:rsidP="00093B6F">
      <w:pPr>
        <w:spacing w:after="0" w:line="240" w:lineRule="auto"/>
        <w:jc w:val="both"/>
        <w:rPr>
          <w:rFonts w:ascii="Times New Roman" w:hAnsi="Times New Roman" w:cs="Times New Roman"/>
          <w:sz w:val="24"/>
          <w:szCs w:val="24"/>
          <w:lang w:val="en-US"/>
        </w:rPr>
      </w:pPr>
    </w:p>
    <w:p w:rsidR="00E841D8" w:rsidRPr="000477F3" w:rsidRDefault="00305538" w:rsidP="00E841D8">
      <w:pPr>
        <w:spacing w:after="0" w:line="240" w:lineRule="auto"/>
        <w:jc w:val="center"/>
        <w:rPr>
          <w:rFonts w:ascii="Times New Roman" w:hAnsi="Times New Roman" w:cs="Times New Roman"/>
          <w:sz w:val="24"/>
          <w:szCs w:val="24"/>
          <w:lang w:val="en-US"/>
        </w:rPr>
      </w:pPr>
      <w:r w:rsidRPr="000477F3">
        <w:rPr>
          <w:noProof/>
          <w:lang w:eastAsia="it-IT"/>
        </w:rPr>
        <w:drawing>
          <wp:inline distT="0" distB="0" distL="0" distR="0" wp14:anchorId="677122D6" wp14:editId="7A525A2F">
            <wp:extent cx="5597236" cy="2479964"/>
            <wp:effectExtent l="0" t="0" r="22860" b="15875"/>
            <wp:docPr id="6" name="Gra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E0430" w:rsidRPr="000477F3" w:rsidRDefault="008708AB" w:rsidP="00A52FE2">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Figure 5</w:t>
      </w:r>
      <w:r w:rsidR="00A52FE2" w:rsidRPr="000477F3">
        <w:rPr>
          <w:rFonts w:ascii="Times New Roman" w:hAnsi="Times New Roman" w:cs="Times New Roman"/>
          <w:sz w:val="24"/>
          <w:szCs w:val="24"/>
          <w:lang w:val="en-US"/>
        </w:rPr>
        <w:t xml:space="preserve"> - Equipment involved in the accidents</w:t>
      </w:r>
    </w:p>
    <w:p w:rsidR="00A52FE2" w:rsidRPr="000477F3" w:rsidRDefault="00A52FE2" w:rsidP="00093B6F">
      <w:pPr>
        <w:spacing w:after="0" w:line="240" w:lineRule="auto"/>
        <w:jc w:val="both"/>
        <w:rPr>
          <w:rFonts w:ascii="Times New Roman" w:hAnsi="Times New Roman" w:cs="Times New Roman"/>
          <w:sz w:val="24"/>
          <w:szCs w:val="24"/>
          <w:lang w:val="en-US"/>
        </w:rPr>
      </w:pPr>
    </w:p>
    <w:p w:rsidR="005E0430" w:rsidRPr="000477F3" w:rsidRDefault="00B66A6E"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lastRenderedPageBreak/>
        <w:t>The days of prognosis (Fig.</w:t>
      </w:r>
      <w:r w:rsidR="008708AB" w:rsidRPr="000477F3">
        <w:rPr>
          <w:rFonts w:ascii="Times New Roman" w:hAnsi="Times New Roman" w:cs="Times New Roman"/>
          <w:sz w:val="24"/>
          <w:szCs w:val="24"/>
          <w:lang w:val="en-US"/>
        </w:rPr>
        <w:t>6</w:t>
      </w:r>
      <w:r w:rsidR="009C10E7" w:rsidRPr="000477F3">
        <w:rPr>
          <w:rFonts w:ascii="Times New Roman" w:hAnsi="Times New Roman" w:cs="Times New Roman"/>
          <w:sz w:val="24"/>
          <w:szCs w:val="24"/>
          <w:lang w:val="en-US"/>
        </w:rPr>
        <w:t>) have undergone a significant change, first of all accidents wi</w:t>
      </w:r>
      <w:r w:rsidR="005757A2" w:rsidRPr="000477F3">
        <w:rPr>
          <w:rFonts w:ascii="Times New Roman" w:hAnsi="Times New Roman" w:cs="Times New Roman"/>
          <w:sz w:val="24"/>
          <w:szCs w:val="24"/>
          <w:lang w:val="en-US"/>
        </w:rPr>
        <w:t>th prognosis than 15 days has de</w:t>
      </w:r>
      <w:r w:rsidR="009C10E7" w:rsidRPr="000477F3">
        <w:rPr>
          <w:rFonts w:ascii="Times New Roman" w:hAnsi="Times New Roman" w:cs="Times New Roman"/>
          <w:sz w:val="24"/>
          <w:szCs w:val="24"/>
          <w:lang w:val="en-US"/>
        </w:rPr>
        <w:t>creased from 47% in 2006 to 37% in 2007 up to 11% in 2008. This is an important finding because the seriousness of the damage is increasingly lowered and, therefore, appear to be less dangerous accidents. As</w:t>
      </w:r>
      <w:r w:rsidR="005757A2" w:rsidRPr="000477F3">
        <w:rPr>
          <w:rFonts w:ascii="Times New Roman" w:hAnsi="Times New Roman" w:cs="Times New Roman"/>
          <w:sz w:val="24"/>
          <w:szCs w:val="24"/>
          <w:lang w:val="en-US"/>
        </w:rPr>
        <w:t xml:space="preserve"> it</w:t>
      </w:r>
      <w:r w:rsidR="009C10E7" w:rsidRPr="000477F3">
        <w:rPr>
          <w:rFonts w:ascii="Times New Roman" w:hAnsi="Times New Roman" w:cs="Times New Roman"/>
          <w:sz w:val="24"/>
          <w:szCs w:val="24"/>
          <w:lang w:val="en-US"/>
        </w:rPr>
        <w:t xml:space="preserve"> is easily seen from the graph in 2008 has been an incredible change of direction with regard to this parameter. In 2008, in fact, the prognosis of less than 5 days and those between 5 and 10 days were significantly increased relative to the other two years, as well as those between 10 and 15 groups are significantly decreased. The death in 2008 refers to an event in progress.</w:t>
      </w:r>
    </w:p>
    <w:p w:rsidR="00E841D8" w:rsidRPr="000477F3" w:rsidRDefault="00AB4E7E" w:rsidP="00E841D8">
      <w:pPr>
        <w:spacing w:after="0" w:line="240" w:lineRule="auto"/>
        <w:jc w:val="center"/>
        <w:rPr>
          <w:rFonts w:ascii="Times New Roman" w:hAnsi="Times New Roman" w:cs="Times New Roman"/>
          <w:sz w:val="24"/>
          <w:szCs w:val="24"/>
          <w:lang w:val="en-US"/>
        </w:rPr>
      </w:pPr>
      <w:r w:rsidRPr="000477F3">
        <w:rPr>
          <w:noProof/>
          <w:lang w:eastAsia="it-IT"/>
        </w:rPr>
        <w:drawing>
          <wp:inline distT="0" distB="0" distL="0" distR="0" wp14:anchorId="445AB33C" wp14:editId="669AEFDE">
            <wp:extent cx="4775200" cy="1898073"/>
            <wp:effectExtent l="0" t="0" r="25400" b="26035"/>
            <wp:docPr id="7" name="Gra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E0430" w:rsidRPr="000477F3" w:rsidRDefault="008708AB" w:rsidP="00AB4E7E">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Figure 6</w:t>
      </w:r>
      <w:r w:rsidR="00AB4E7E" w:rsidRPr="000477F3">
        <w:rPr>
          <w:rFonts w:ascii="Times New Roman" w:hAnsi="Times New Roman" w:cs="Times New Roman"/>
          <w:sz w:val="24"/>
          <w:szCs w:val="24"/>
          <w:lang w:val="en-US"/>
        </w:rPr>
        <w:t xml:space="preserve"> - Percentage of days of prognosis in the three years evaluated</w:t>
      </w:r>
    </w:p>
    <w:p w:rsidR="00AB4E7E" w:rsidRPr="000477F3" w:rsidRDefault="00AB4E7E" w:rsidP="00093B6F">
      <w:pPr>
        <w:spacing w:after="0" w:line="240" w:lineRule="auto"/>
        <w:jc w:val="both"/>
        <w:rPr>
          <w:rFonts w:ascii="Times New Roman" w:hAnsi="Times New Roman" w:cs="Times New Roman"/>
          <w:sz w:val="24"/>
          <w:szCs w:val="24"/>
          <w:lang w:val="en-US"/>
        </w:rPr>
      </w:pPr>
    </w:p>
    <w:p w:rsidR="00AB4E7E" w:rsidRPr="000477F3" w:rsidRDefault="00AB4E7E"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The last analysis led to the crossroads with the number of accidents with p</w:t>
      </w:r>
      <w:r w:rsidR="00557483" w:rsidRPr="000477F3">
        <w:rPr>
          <w:rFonts w:ascii="Times New Roman" w:hAnsi="Times New Roman" w:cs="Times New Roman"/>
          <w:sz w:val="24"/>
          <w:szCs w:val="24"/>
          <w:lang w:val="en-US"/>
        </w:rPr>
        <w:t>ersons trained on safety (Fig. 7</w:t>
      </w:r>
      <w:r w:rsidRPr="000477F3">
        <w:rPr>
          <w:rFonts w:ascii="Times New Roman" w:hAnsi="Times New Roman" w:cs="Times New Roman"/>
          <w:sz w:val="24"/>
          <w:szCs w:val="24"/>
          <w:lang w:val="en-US"/>
        </w:rPr>
        <w:t>)</w:t>
      </w:r>
    </w:p>
    <w:p w:rsidR="00AB4E7E" w:rsidRPr="000477F3" w:rsidRDefault="00AB4E7E" w:rsidP="00093B6F">
      <w:pPr>
        <w:spacing w:after="0" w:line="240" w:lineRule="auto"/>
        <w:jc w:val="both"/>
        <w:rPr>
          <w:rFonts w:ascii="Times New Roman" w:hAnsi="Times New Roman" w:cs="Times New Roman"/>
          <w:sz w:val="24"/>
          <w:szCs w:val="24"/>
          <w:lang w:val="en-US"/>
        </w:rPr>
      </w:pPr>
    </w:p>
    <w:p w:rsidR="005E0430" w:rsidRPr="000477F3" w:rsidRDefault="004E4A19" w:rsidP="00E841D8">
      <w:pPr>
        <w:spacing w:after="0" w:line="240" w:lineRule="auto"/>
        <w:jc w:val="center"/>
        <w:rPr>
          <w:rFonts w:ascii="Times New Roman" w:hAnsi="Times New Roman" w:cs="Times New Roman"/>
          <w:sz w:val="24"/>
          <w:szCs w:val="24"/>
          <w:lang w:val="en-US"/>
        </w:rPr>
      </w:pPr>
      <w:r w:rsidRPr="000477F3">
        <w:rPr>
          <w:noProof/>
          <w:lang w:eastAsia="it-IT"/>
        </w:rPr>
        <w:drawing>
          <wp:inline distT="0" distB="0" distL="0" distR="0" wp14:anchorId="60F10724" wp14:editId="19ABD4B6">
            <wp:extent cx="3015673" cy="1754909"/>
            <wp:effectExtent l="0" t="0" r="13335" b="17145"/>
            <wp:docPr id="8" name="Gra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0477F3">
        <w:rPr>
          <w:noProof/>
          <w:lang w:val="en-US" w:eastAsia="it-IT"/>
        </w:rPr>
        <w:t xml:space="preserve"> </w:t>
      </w:r>
      <w:r w:rsidRPr="000477F3">
        <w:rPr>
          <w:noProof/>
          <w:lang w:eastAsia="it-IT"/>
        </w:rPr>
        <w:drawing>
          <wp:inline distT="0" distB="0" distL="0" distR="0" wp14:anchorId="700BFB6B" wp14:editId="16B925A5">
            <wp:extent cx="2909455" cy="1745672"/>
            <wp:effectExtent l="0" t="0" r="24765" b="26035"/>
            <wp:docPr id="9" name="Gra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E4A19" w:rsidRPr="000477F3" w:rsidRDefault="008708AB" w:rsidP="00E841D8">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Figure 7</w:t>
      </w:r>
      <w:r w:rsidR="004E4A19" w:rsidRPr="000477F3">
        <w:rPr>
          <w:rFonts w:ascii="Times New Roman" w:hAnsi="Times New Roman" w:cs="Times New Roman"/>
          <w:sz w:val="24"/>
          <w:szCs w:val="24"/>
          <w:lang w:val="en-US"/>
        </w:rPr>
        <w:t xml:space="preserve"> - Total persons trained &amp; number of accidents</w:t>
      </w:r>
    </w:p>
    <w:p w:rsidR="004E4A19" w:rsidRPr="000477F3" w:rsidRDefault="004E4A19" w:rsidP="00093B6F">
      <w:pPr>
        <w:spacing w:after="0" w:line="240" w:lineRule="auto"/>
        <w:jc w:val="both"/>
        <w:rPr>
          <w:rFonts w:ascii="Times New Roman" w:hAnsi="Times New Roman" w:cs="Times New Roman"/>
          <w:sz w:val="24"/>
          <w:szCs w:val="24"/>
          <w:lang w:val="en-US"/>
        </w:rPr>
      </w:pPr>
    </w:p>
    <w:p w:rsidR="00E841D8" w:rsidRPr="000477F3" w:rsidRDefault="004E4A19"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As you can see the number of courses taken and the total number of accidents have a relatively proportional, this once again puts the emphasis on how important and how this tool is useful for improving safety in the workplace.</w:t>
      </w:r>
    </w:p>
    <w:p w:rsidR="004E4A19" w:rsidRPr="000477F3" w:rsidRDefault="004E4A19"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The analysis allowed to identify the equipment most important for assessments in terms of danger and harm: the cart, the knife and the slicer. The cart was involved in several accidents causing diffe</w:t>
      </w:r>
      <w:r w:rsidR="005804E4">
        <w:rPr>
          <w:rFonts w:ascii="Times New Roman" w:hAnsi="Times New Roman" w:cs="Times New Roman"/>
          <w:sz w:val="24"/>
          <w:szCs w:val="24"/>
          <w:lang w:val="en-US"/>
        </w:rPr>
        <w:t>rent types of hazards. Tripping/</w:t>
      </w:r>
      <w:r w:rsidRPr="000477F3">
        <w:rPr>
          <w:rFonts w:ascii="Times New Roman" w:hAnsi="Times New Roman" w:cs="Times New Roman"/>
          <w:sz w:val="24"/>
          <w:szCs w:val="24"/>
          <w:lang w:val="en-US"/>
        </w:rPr>
        <w:t xml:space="preserve">falling while cart are handled has a probability but a high average severity. This equipment is moved frequently this leads to dangers such as being crushed against the walls, doors and other equipment. This type of event is likely but its severity is mild. The cart does not appear to be quite stable, there have been several accidents resulting from loss of stability of this equipment, gravity is medium. Other hazards are attributable to the burn, in the case in which are used a heated cart, and the risk of cuts\wound. The risk assessment </w:t>
      </w:r>
      <w:r w:rsidR="00557483" w:rsidRPr="000477F3">
        <w:rPr>
          <w:rFonts w:ascii="Times New Roman" w:hAnsi="Times New Roman" w:cs="Times New Roman"/>
          <w:sz w:val="24"/>
          <w:szCs w:val="24"/>
          <w:lang w:val="en-US"/>
        </w:rPr>
        <w:t>has led to the graph of Figure 8</w:t>
      </w:r>
      <w:r w:rsidRPr="000477F3">
        <w:rPr>
          <w:rFonts w:ascii="Times New Roman" w:hAnsi="Times New Roman" w:cs="Times New Roman"/>
          <w:sz w:val="24"/>
          <w:szCs w:val="24"/>
          <w:lang w:val="en-US"/>
        </w:rPr>
        <w:t>.</w:t>
      </w:r>
    </w:p>
    <w:p w:rsidR="00E841D8" w:rsidRPr="000477F3" w:rsidRDefault="00E841D8" w:rsidP="00E841D8">
      <w:pPr>
        <w:spacing w:after="0" w:line="240" w:lineRule="auto"/>
        <w:jc w:val="center"/>
        <w:rPr>
          <w:rFonts w:ascii="Times New Roman" w:hAnsi="Times New Roman" w:cs="Times New Roman"/>
          <w:sz w:val="24"/>
          <w:szCs w:val="24"/>
          <w:lang w:val="en-US"/>
        </w:rPr>
      </w:pPr>
    </w:p>
    <w:p w:rsidR="00297134" w:rsidRPr="000477F3" w:rsidRDefault="00297134" w:rsidP="00297134">
      <w:pPr>
        <w:spacing w:after="0" w:line="240" w:lineRule="auto"/>
        <w:jc w:val="center"/>
        <w:rPr>
          <w:rFonts w:ascii="Times New Roman" w:hAnsi="Times New Roman" w:cs="Times New Roman"/>
          <w:sz w:val="24"/>
          <w:szCs w:val="24"/>
          <w:lang w:val="en-US"/>
        </w:rPr>
      </w:pPr>
      <w:r w:rsidRPr="000477F3">
        <w:rPr>
          <w:noProof/>
          <w:sz w:val="10"/>
          <w:lang w:eastAsia="it-IT"/>
        </w:rPr>
        <w:lastRenderedPageBreak/>
        <w:drawing>
          <wp:inline distT="0" distB="0" distL="0" distR="0" wp14:anchorId="57E5E276" wp14:editId="292DB990">
            <wp:extent cx="3625273" cy="2235200"/>
            <wp:effectExtent l="0" t="0" r="13335" b="12700"/>
            <wp:docPr id="10" name="Gra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97134" w:rsidRPr="000477F3" w:rsidRDefault="00557483" w:rsidP="00297134">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Figure 8</w:t>
      </w:r>
      <w:r w:rsidR="00297134" w:rsidRPr="000477F3">
        <w:rPr>
          <w:rFonts w:ascii="Times New Roman" w:hAnsi="Times New Roman" w:cs="Times New Roman"/>
          <w:sz w:val="24"/>
          <w:szCs w:val="24"/>
          <w:lang w:val="en-US"/>
        </w:rPr>
        <w:t xml:space="preserve"> – Cart Risk Analysis</w:t>
      </w:r>
    </w:p>
    <w:p w:rsidR="00297134" w:rsidRPr="000477F3" w:rsidRDefault="00297134" w:rsidP="00093B6F">
      <w:pPr>
        <w:spacing w:after="0" w:line="240" w:lineRule="auto"/>
        <w:jc w:val="both"/>
        <w:rPr>
          <w:rFonts w:ascii="Times New Roman" w:hAnsi="Times New Roman" w:cs="Times New Roman"/>
          <w:sz w:val="24"/>
          <w:szCs w:val="24"/>
          <w:lang w:val="en-US"/>
        </w:rPr>
      </w:pPr>
    </w:p>
    <w:p w:rsidR="00AC1A54" w:rsidRPr="000477F3" w:rsidRDefault="00AC1A54"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As it</w:t>
      </w:r>
      <w:r w:rsidR="00297134" w:rsidRPr="000477F3">
        <w:rPr>
          <w:rFonts w:ascii="Times New Roman" w:hAnsi="Times New Roman" w:cs="Times New Roman"/>
          <w:sz w:val="24"/>
          <w:szCs w:val="24"/>
          <w:lang w:val="en-US"/>
        </w:rPr>
        <w:t xml:space="preserve"> can easily see</w:t>
      </w:r>
      <w:r w:rsidRPr="000477F3">
        <w:rPr>
          <w:rFonts w:ascii="Times New Roman" w:hAnsi="Times New Roman" w:cs="Times New Roman"/>
          <w:sz w:val="24"/>
          <w:szCs w:val="24"/>
          <w:lang w:val="en-US"/>
        </w:rPr>
        <w:t>,</w:t>
      </w:r>
      <w:r w:rsidR="00297134" w:rsidRPr="000477F3">
        <w:rPr>
          <w:rFonts w:ascii="Times New Roman" w:hAnsi="Times New Roman" w:cs="Times New Roman"/>
          <w:sz w:val="24"/>
          <w:szCs w:val="24"/>
          <w:lang w:val="en-US"/>
        </w:rPr>
        <w:t xml:space="preserve"> the only danger above the tolerance thre</w:t>
      </w:r>
      <w:r w:rsidRPr="000477F3">
        <w:rPr>
          <w:rFonts w:ascii="Times New Roman" w:hAnsi="Times New Roman" w:cs="Times New Roman"/>
          <w:sz w:val="24"/>
          <w:szCs w:val="24"/>
          <w:lang w:val="en-US"/>
        </w:rPr>
        <w:t>shold is the danger of tripping/</w:t>
      </w:r>
      <w:r w:rsidR="00297134" w:rsidRPr="000477F3">
        <w:rPr>
          <w:rFonts w:ascii="Times New Roman" w:hAnsi="Times New Roman" w:cs="Times New Roman"/>
          <w:sz w:val="24"/>
          <w:szCs w:val="24"/>
          <w:lang w:val="en-US"/>
        </w:rPr>
        <w:t>fall, this danger must implement immediate actions for improvement. The danger of being</w:t>
      </w:r>
      <w:r w:rsidRPr="000477F3">
        <w:rPr>
          <w:rFonts w:ascii="Times New Roman" w:hAnsi="Times New Roman" w:cs="Times New Roman"/>
          <w:sz w:val="24"/>
          <w:szCs w:val="24"/>
          <w:lang w:val="en-US"/>
        </w:rPr>
        <w:t xml:space="preserve"> crushed to loss of stability is at</w:t>
      </w:r>
      <w:r w:rsidR="00297134" w:rsidRPr="000477F3">
        <w:rPr>
          <w:rFonts w:ascii="Times New Roman" w:hAnsi="Times New Roman" w:cs="Times New Roman"/>
          <w:sz w:val="24"/>
          <w:szCs w:val="24"/>
          <w:lang w:val="en-US"/>
        </w:rPr>
        <w:t xml:space="preserve"> the limit of tolerability and need</w:t>
      </w:r>
      <w:r w:rsidRPr="000477F3">
        <w:rPr>
          <w:rFonts w:ascii="Times New Roman" w:hAnsi="Times New Roman" w:cs="Times New Roman"/>
          <w:sz w:val="24"/>
          <w:szCs w:val="24"/>
          <w:lang w:val="en-US"/>
        </w:rPr>
        <w:t>s</w:t>
      </w:r>
      <w:r w:rsidR="00297134" w:rsidRPr="000477F3">
        <w:rPr>
          <w:rFonts w:ascii="Times New Roman" w:hAnsi="Times New Roman" w:cs="Times New Roman"/>
          <w:sz w:val="24"/>
          <w:szCs w:val="24"/>
          <w:lang w:val="en-US"/>
        </w:rPr>
        <w:t xml:space="preserve"> of i</w:t>
      </w:r>
      <w:r w:rsidRPr="000477F3">
        <w:rPr>
          <w:rFonts w:ascii="Times New Roman" w:hAnsi="Times New Roman" w:cs="Times New Roman"/>
          <w:sz w:val="24"/>
          <w:szCs w:val="24"/>
          <w:lang w:val="en-US"/>
        </w:rPr>
        <w:t>mprovement actions in the short/medium term, to not</w:t>
      </w:r>
      <w:r w:rsidR="00297134" w:rsidRPr="000477F3">
        <w:rPr>
          <w:rFonts w:ascii="Times New Roman" w:hAnsi="Times New Roman" w:cs="Times New Roman"/>
          <w:sz w:val="24"/>
          <w:szCs w:val="24"/>
          <w:lang w:val="en-US"/>
        </w:rPr>
        <w:t xml:space="preserve"> risk</w:t>
      </w:r>
      <w:r w:rsidRPr="000477F3">
        <w:rPr>
          <w:rFonts w:ascii="Times New Roman" w:hAnsi="Times New Roman" w:cs="Times New Roman"/>
          <w:sz w:val="24"/>
          <w:szCs w:val="24"/>
          <w:lang w:val="en-US"/>
        </w:rPr>
        <w:t xml:space="preserve"> the</w:t>
      </w:r>
      <w:r w:rsidR="00297134" w:rsidRPr="000477F3">
        <w:rPr>
          <w:rFonts w:ascii="Times New Roman" w:hAnsi="Times New Roman" w:cs="Times New Roman"/>
          <w:sz w:val="24"/>
          <w:szCs w:val="24"/>
          <w:lang w:val="en-US"/>
        </w:rPr>
        <w:t xml:space="preserve"> worsening this situation. The danger of scalding is rather limited, in this case it is sufficient to intervene only in the programming phase. </w:t>
      </w:r>
    </w:p>
    <w:p w:rsidR="00297134" w:rsidRPr="000477F3" w:rsidRDefault="00297134"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The only risk that one runs when using a kn</w:t>
      </w:r>
      <w:r w:rsidR="00AC1A54" w:rsidRPr="000477F3">
        <w:rPr>
          <w:rFonts w:ascii="Times New Roman" w:hAnsi="Times New Roman" w:cs="Times New Roman"/>
          <w:sz w:val="24"/>
          <w:szCs w:val="24"/>
          <w:lang w:val="en-US"/>
        </w:rPr>
        <w:t>ife is the danger of cutting/</w:t>
      </w:r>
      <w:r w:rsidRPr="000477F3">
        <w:rPr>
          <w:rFonts w:ascii="Times New Roman" w:hAnsi="Times New Roman" w:cs="Times New Roman"/>
          <w:sz w:val="24"/>
          <w:szCs w:val="24"/>
          <w:lang w:val="en-US"/>
        </w:rPr>
        <w:t>wound. This type of damage is very common in places like the kitchen and in rare cases the severity appears to be high. Considering the cases of injury resulting from use of this equipment, in the three years analyzed, it was c</w:t>
      </w:r>
      <w:r w:rsidR="00AC1A54" w:rsidRPr="000477F3">
        <w:rPr>
          <w:rFonts w:ascii="Times New Roman" w:hAnsi="Times New Roman" w:cs="Times New Roman"/>
          <w:sz w:val="24"/>
          <w:szCs w:val="24"/>
          <w:lang w:val="en-US"/>
        </w:rPr>
        <w:t>oncluded that the danger of cut/</w:t>
      </w:r>
      <w:r w:rsidRPr="000477F3">
        <w:rPr>
          <w:rFonts w:ascii="Times New Roman" w:hAnsi="Times New Roman" w:cs="Times New Roman"/>
          <w:sz w:val="24"/>
          <w:szCs w:val="24"/>
          <w:lang w:val="en-US"/>
        </w:rPr>
        <w:t xml:space="preserve">wound is above </w:t>
      </w:r>
      <w:r w:rsidR="00557483" w:rsidRPr="000477F3">
        <w:rPr>
          <w:rFonts w:ascii="Times New Roman" w:hAnsi="Times New Roman" w:cs="Times New Roman"/>
          <w:sz w:val="24"/>
          <w:szCs w:val="24"/>
          <w:lang w:val="en-US"/>
        </w:rPr>
        <w:t>the tolerance threshold (Fig. 9</w:t>
      </w:r>
      <w:r w:rsidRPr="000477F3">
        <w:rPr>
          <w:rFonts w:ascii="Times New Roman" w:hAnsi="Times New Roman" w:cs="Times New Roman"/>
          <w:sz w:val="24"/>
          <w:szCs w:val="24"/>
          <w:lang w:val="en-US"/>
        </w:rPr>
        <w:t>).</w:t>
      </w:r>
    </w:p>
    <w:p w:rsidR="00297134" w:rsidRPr="000477F3" w:rsidRDefault="00297134" w:rsidP="00093B6F">
      <w:pPr>
        <w:spacing w:after="0" w:line="240" w:lineRule="auto"/>
        <w:jc w:val="both"/>
        <w:rPr>
          <w:rFonts w:ascii="Times New Roman" w:hAnsi="Times New Roman" w:cs="Times New Roman"/>
          <w:sz w:val="24"/>
          <w:szCs w:val="24"/>
          <w:lang w:val="en-US"/>
        </w:rPr>
      </w:pPr>
    </w:p>
    <w:p w:rsidR="002F70D7" w:rsidRPr="000477F3" w:rsidRDefault="00AC1A54" w:rsidP="00093B6F">
      <w:pPr>
        <w:spacing w:after="0" w:line="240" w:lineRule="auto"/>
        <w:jc w:val="center"/>
        <w:rPr>
          <w:rFonts w:ascii="Times New Roman" w:hAnsi="Times New Roman" w:cs="Times New Roman"/>
          <w:sz w:val="24"/>
          <w:szCs w:val="24"/>
          <w:lang w:val="en-US"/>
        </w:rPr>
      </w:pPr>
      <w:r w:rsidRPr="000477F3">
        <w:rPr>
          <w:noProof/>
          <w:lang w:eastAsia="it-IT"/>
        </w:rPr>
        <w:drawing>
          <wp:inline distT="0" distB="0" distL="0" distR="0" wp14:anchorId="5A3483FB" wp14:editId="2BB816A4">
            <wp:extent cx="4322618" cy="2027381"/>
            <wp:effectExtent l="0" t="0" r="20955" b="11430"/>
            <wp:docPr id="12" name="Gra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F70D7" w:rsidRPr="000477F3" w:rsidRDefault="00AC1A54" w:rsidP="00E841D8">
      <w:pPr>
        <w:spacing w:after="0" w:line="240" w:lineRule="auto"/>
        <w:jc w:val="center"/>
        <w:rPr>
          <w:rFonts w:ascii="Times New Roman" w:hAnsi="Times New Roman" w:cs="Times New Roman"/>
          <w:i/>
          <w:sz w:val="24"/>
          <w:szCs w:val="24"/>
          <w:lang w:val="en-US"/>
        </w:rPr>
      </w:pPr>
      <w:r w:rsidRPr="000477F3">
        <w:rPr>
          <w:rFonts w:ascii="Times New Roman" w:hAnsi="Times New Roman" w:cs="Times New Roman"/>
          <w:b/>
          <w:sz w:val="24"/>
          <w:szCs w:val="24"/>
          <w:lang w:val="en-US"/>
        </w:rPr>
        <w:t>Figure</w:t>
      </w:r>
      <w:r w:rsidR="00557483" w:rsidRPr="000477F3">
        <w:rPr>
          <w:rFonts w:ascii="Times New Roman" w:hAnsi="Times New Roman" w:cs="Times New Roman"/>
          <w:b/>
          <w:sz w:val="24"/>
          <w:szCs w:val="24"/>
          <w:lang w:val="en-US"/>
        </w:rPr>
        <w:t xml:space="preserve"> 9</w:t>
      </w:r>
      <w:r w:rsidR="002F70D7" w:rsidRPr="000477F3">
        <w:rPr>
          <w:rFonts w:ascii="Times New Roman" w:hAnsi="Times New Roman" w:cs="Times New Roman"/>
          <w:b/>
          <w:sz w:val="24"/>
          <w:szCs w:val="24"/>
          <w:lang w:val="en-US"/>
        </w:rPr>
        <w:t xml:space="preserve"> –</w:t>
      </w:r>
      <w:r w:rsidR="002F70D7" w:rsidRPr="000477F3">
        <w:rPr>
          <w:rFonts w:ascii="Times New Roman" w:hAnsi="Times New Roman" w:cs="Times New Roman"/>
          <w:i/>
          <w:sz w:val="24"/>
          <w:szCs w:val="24"/>
          <w:lang w:val="en-US"/>
        </w:rPr>
        <w:t xml:space="preserve"> </w:t>
      </w:r>
      <w:r w:rsidRPr="000477F3">
        <w:rPr>
          <w:rFonts w:ascii="Times New Roman" w:hAnsi="Times New Roman" w:cs="Times New Roman"/>
          <w:sz w:val="24"/>
          <w:szCs w:val="24"/>
          <w:lang w:val="en-US"/>
        </w:rPr>
        <w:t xml:space="preserve">Knife Risk </w:t>
      </w:r>
      <w:proofErr w:type="spellStart"/>
      <w:r w:rsidRPr="000477F3">
        <w:rPr>
          <w:rFonts w:ascii="Times New Roman" w:hAnsi="Times New Roman" w:cs="Times New Roman"/>
          <w:sz w:val="24"/>
          <w:szCs w:val="24"/>
          <w:lang w:val="en-US"/>
        </w:rPr>
        <w:t>Analisys</w:t>
      </w:r>
      <w:proofErr w:type="spellEnd"/>
    </w:p>
    <w:p w:rsidR="00AC1A54" w:rsidRPr="000477F3" w:rsidRDefault="00AC1A54" w:rsidP="00E841D8">
      <w:pPr>
        <w:spacing w:after="0" w:line="240" w:lineRule="auto"/>
        <w:jc w:val="center"/>
        <w:rPr>
          <w:rFonts w:ascii="Times New Roman" w:hAnsi="Times New Roman" w:cs="Times New Roman"/>
          <w:i/>
          <w:sz w:val="24"/>
          <w:szCs w:val="24"/>
          <w:lang w:val="en-US"/>
        </w:rPr>
      </w:pPr>
    </w:p>
    <w:p w:rsidR="00AC1A54" w:rsidRPr="000477F3" w:rsidRDefault="00547CD7"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T</w:t>
      </w:r>
      <w:r w:rsidR="00AC1A54" w:rsidRPr="000477F3">
        <w:rPr>
          <w:rFonts w:ascii="Times New Roman" w:hAnsi="Times New Roman" w:cs="Times New Roman"/>
          <w:sz w:val="24"/>
          <w:szCs w:val="24"/>
          <w:lang w:val="en-US"/>
        </w:rPr>
        <w:t xml:space="preserve">he slicer is a tool widely used for slicing meats, cold cuts, cheeses and available in a wide range of models to suit every user. Noteworthy too is the number of available accessories, such as </w:t>
      </w:r>
      <w:proofErr w:type="spellStart"/>
      <w:r w:rsidR="00AC1A54" w:rsidRPr="000477F3">
        <w:rPr>
          <w:rFonts w:ascii="Times New Roman" w:hAnsi="Times New Roman" w:cs="Times New Roman"/>
          <w:sz w:val="24"/>
          <w:szCs w:val="24"/>
          <w:lang w:val="en-US"/>
        </w:rPr>
        <w:t>slicercount</w:t>
      </w:r>
      <w:proofErr w:type="spellEnd"/>
      <w:r w:rsidR="00AC1A54" w:rsidRPr="000477F3">
        <w:rPr>
          <w:rFonts w:ascii="Times New Roman" w:hAnsi="Times New Roman" w:cs="Times New Roman"/>
          <w:sz w:val="24"/>
          <w:szCs w:val="24"/>
          <w:lang w:val="en-US"/>
        </w:rPr>
        <w:t xml:space="preserve"> or device off slices. In any case it is always made ​​up of some characteristic elements: an electric motor, a regulator of thickness for the </w:t>
      </w:r>
      <w:proofErr w:type="spellStart"/>
      <w:r w:rsidR="00AC1A54" w:rsidRPr="000477F3">
        <w:rPr>
          <w:rFonts w:ascii="Times New Roman" w:hAnsi="Times New Roman" w:cs="Times New Roman"/>
          <w:sz w:val="24"/>
          <w:szCs w:val="24"/>
          <w:lang w:val="en-US"/>
        </w:rPr>
        <w:t>grammage</w:t>
      </w:r>
      <w:proofErr w:type="spellEnd"/>
      <w:r w:rsidR="00AC1A54" w:rsidRPr="000477F3">
        <w:rPr>
          <w:rFonts w:ascii="Times New Roman" w:hAnsi="Times New Roman" w:cs="Times New Roman"/>
          <w:sz w:val="24"/>
          <w:szCs w:val="24"/>
          <w:lang w:val="en-US"/>
        </w:rPr>
        <w:t>, a blade and a carriage. There are essentially two types of dangers of using this type of equipment (Fig</w:t>
      </w:r>
      <w:r w:rsidR="00557483" w:rsidRPr="000477F3">
        <w:rPr>
          <w:rFonts w:ascii="Times New Roman" w:hAnsi="Times New Roman" w:cs="Times New Roman"/>
          <w:sz w:val="24"/>
          <w:szCs w:val="24"/>
          <w:lang w:val="en-US"/>
        </w:rPr>
        <w:t>. 10</w:t>
      </w:r>
      <w:r w:rsidR="00AC1A54" w:rsidRPr="000477F3">
        <w:rPr>
          <w:rFonts w:ascii="Times New Roman" w:hAnsi="Times New Roman" w:cs="Times New Roman"/>
          <w:sz w:val="24"/>
          <w:szCs w:val="24"/>
          <w:lang w:val="en-US"/>
        </w:rPr>
        <w:t>): the danger of cut/wound and electrical hazards. The danger of cutting wound turns out to be an average frequent with a severity which, for most of the cases, is high.</w:t>
      </w:r>
    </w:p>
    <w:p w:rsidR="00AC1A54" w:rsidRPr="000477F3" w:rsidRDefault="00AC1A54" w:rsidP="00093B6F">
      <w:pPr>
        <w:spacing w:after="0" w:line="240" w:lineRule="auto"/>
        <w:jc w:val="both"/>
        <w:rPr>
          <w:rFonts w:ascii="Times New Roman" w:hAnsi="Times New Roman" w:cs="Times New Roman"/>
          <w:sz w:val="24"/>
          <w:szCs w:val="24"/>
          <w:lang w:val="en-US"/>
        </w:rPr>
      </w:pPr>
    </w:p>
    <w:p w:rsidR="002F70D7" w:rsidRPr="000477F3" w:rsidRDefault="00547CD7" w:rsidP="00093B6F">
      <w:pPr>
        <w:spacing w:after="0" w:line="240" w:lineRule="auto"/>
        <w:jc w:val="center"/>
        <w:rPr>
          <w:rFonts w:ascii="Times New Roman" w:hAnsi="Times New Roman" w:cs="Times New Roman"/>
          <w:sz w:val="24"/>
          <w:szCs w:val="24"/>
          <w:lang w:val="en-US"/>
        </w:rPr>
      </w:pPr>
      <w:r w:rsidRPr="000477F3">
        <w:rPr>
          <w:noProof/>
          <w:lang w:eastAsia="it-IT"/>
        </w:rPr>
        <w:lastRenderedPageBreak/>
        <w:drawing>
          <wp:inline distT="0" distB="0" distL="0" distR="0" wp14:anchorId="50495EFA" wp14:editId="29CD8F03">
            <wp:extent cx="5029200" cy="1935019"/>
            <wp:effectExtent l="0" t="0" r="19050" b="27305"/>
            <wp:docPr id="13" name="Gra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F70D7" w:rsidRPr="000477F3" w:rsidRDefault="00E841D8" w:rsidP="00E841D8">
      <w:pPr>
        <w:spacing w:after="0" w:line="240" w:lineRule="auto"/>
        <w:jc w:val="center"/>
        <w:rPr>
          <w:rFonts w:ascii="Times New Roman" w:hAnsi="Times New Roman" w:cs="Times New Roman"/>
          <w:sz w:val="24"/>
          <w:szCs w:val="24"/>
          <w:lang w:val="en-US"/>
        </w:rPr>
      </w:pPr>
      <w:r w:rsidRPr="000477F3">
        <w:rPr>
          <w:rFonts w:ascii="Times New Roman" w:hAnsi="Times New Roman" w:cs="Times New Roman"/>
          <w:b/>
          <w:sz w:val="24"/>
          <w:szCs w:val="24"/>
          <w:lang w:val="en-US"/>
        </w:rPr>
        <w:t>Fig</w:t>
      </w:r>
      <w:r w:rsidR="00547CD7" w:rsidRPr="000477F3">
        <w:rPr>
          <w:rFonts w:ascii="Times New Roman" w:hAnsi="Times New Roman" w:cs="Times New Roman"/>
          <w:b/>
          <w:sz w:val="24"/>
          <w:szCs w:val="24"/>
          <w:lang w:val="en-US"/>
        </w:rPr>
        <w:t>ure</w:t>
      </w:r>
      <w:r w:rsidR="00557483" w:rsidRPr="000477F3">
        <w:rPr>
          <w:rFonts w:ascii="Times New Roman" w:hAnsi="Times New Roman" w:cs="Times New Roman"/>
          <w:b/>
          <w:sz w:val="24"/>
          <w:szCs w:val="24"/>
          <w:lang w:val="en-US"/>
        </w:rPr>
        <w:t xml:space="preserve"> 10</w:t>
      </w:r>
      <w:r w:rsidR="002F70D7" w:rsidRPr="000477F3">
        <w:rPr>
          <w:rFonts w:ascii="Times New Roman" w:hAnsi="Times New Roman" w:cs="Times New Roman"/>
          <w:i/>
          <w:sz w:val="24"/>
          <w:szCs w:val="24"/>
          <w:lang w:val="en-US"/>
        </w:rPr>
        <w:t xml:space="preserve"> – </w:t>
      </w:r>
      <w:r w:rsidR="00547CD7" w:rsidRPr="000477F3">
        <w:rPr>
          <w:rFonts w:ascii="Times New Roman" w:hAnsi="Times New Roman" w:cs="Times New Roman"/>
          <w:sz w:val="24"/>
          <w:szCs w:val="24"/>
          <w:lang w:val="en-US"/>
        </w:rPr>
        <w:t>Slicer Risk Analysis</w:t>
      </w:r>
    </w:p>
    <w:p w:rsidR="00F8709C" w:rsidRPr="000477F3" w:rsidRDefault="00F8709C" w:rsidP="00093B6F">
      <w:pPr>
        <w:spacing w:after="0" w:line="240" w:lineRule="auto"/>
        <w:jc w:val="both"/>
        <w:rPr>
          <w:rFonts w:ascii="Times New Roman" w:hAnsi="Times New Roman" w:cs="Times New Roman"/>
          <w:sz w:val="24"/>
          <w:szCs w:val="24"/>
          <w:lang w:val="en-US"/>
        </w:rPr>
      </w:pPr>
    </w:p>
    <w:p w:rsidR="00590183" w:rsidRPr="000477F3" w:rsidRDefault="00590183" w:rsidP="00093B6F">
      <w:pPr>
        <w:spacing w:after="0" w:line="240" w:lineRule="auto"/>
        <w:rPr>
          <w:rFonts w:ascii="Times New Roman" w:hAnsi="Times New Roman" w:cs="Times New Roman"/>
          <w:b/>
          <w:sz w:val="24"/>
          <w:szCs w:val="24"/>
          <w:lang w:val="en-US" w:eastAsia="it-IT"/>
        </w:rPr>
      </w:pPr>
      <w:r w:rsidRPr="000477F3">
        <w:rPr>
          <w:rFonts w:ascii="Times New Roman" w:hAnsi="Times New Roman" w:cs="Times New Roman"/>
          <w:b/>
          <w:sz w:val="24"/>
          <w:szCs w:val="24"/>
          <w:lang w:val="en-US" w:eastAsia="it-IT"/>
        </w:rPr>
        <w:t>Conclusions</w:t>
      </w:r>
    </w:p>
    <w:p w:rsidR="00547CD7" w:rsidRPr="000477F3" w:rsidRDefault="00547CD7"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The analytical approach and the technique of Hazard Analysis of catering equipment are two very interesting tools to increase the level of security in the context HORECA an advance logic. The analysis showed that: </w:t>
      </w:r>
    </w:p>
    <w:p w:rsidR="00547CD7" w:rsidRPr="000477F3" w:rsidRDefault="00547CD7"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 xml:space="preserve">1. the formations still constitutes the main tool that allows to reduce significantly the number of accidents; </w:t>
      </w:r>
    </w:p>
    <w:p w:rsidR="00512FB3" w:rsidRPr="000477F3" w:rsidRDefault="00547CD7" w:rsidP="00093B6F">
      <w:pPr>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2. approach based on risk analysis allows to identify the precise technical measures must be undertaken to secure equipment that, while respecting the safety rules, is still the cause of accidents; 3. graphs obtained allow to support preventive interventions with objective evidence coming to raise the security level of the sector.</w:t>
      </w:r>
    </w:p>
    <w:p w:rsidR="00547CD7" w:rsidRPr="000477F3" w:rsidRDefault="00547CD7" w:rsidP="00093B6F">
      <w:pPr>
        <w:spacing w:after="0" w:line="240" w:lineRule="auto"/>
        <w:rPr>
          <w:rFonts w:ascii="Times New Roman" w:hAnsi="Times New Roman" w:cs="Times New Roman"/>
          <w:b/>
          <w:sz w:val="24"/>
          <w:szCs w:val="24"/>
          <w:lang w:val="en-US" w:eastAsia="it-IT"/>
        </w:rPr>
      </w:pPr>
    </w:p>
    <w:p w:rsidR="00590183" w:rsidRPr="000477F3" w:rsidRDefault="00590183" w:rsidP="00093B6F">
      <w:pPr>
        <w:spacing w:after="0" w:line="240" w:lineRule="auto"/>
        <w:rPr>
          <w:rFonts w:ascii="Times New Roman" w:hAnsi="Times New Roman" w:cs="Times New Roman"/>
          <w:b/>
          <w:sz w:val="24"/>
          <w:szCs w:val="24"/>
          <w:lang w:val="en-US" w:eastAsia="it-IT"/>
        </w:rPr>
      </w:pPr>
      <w:r w:rsidRPr="000477F3">
        <w:rPr>
          <w:rFonts w:ascii="Times New Roman" w:hAnsi="Times New Roman" w:cs="Times New Roman"/>
          <w:b/>
          <w:sz w:val="24"/>
          <w:szCs w:val="24"/>
          <w:lang w:val="en-US" w:eastAsia="it-IT"/>
        </w:rPr>
        <w:t>References</w:t>
      </w:r>
    </w:p>
    <w:p w:rsidR="00EC3498" w:rsidRPr="000477F3" w:rsidRDefault="00EC3498" w:rsidP="003F0EFF">
      <w:pPr>
        <w:autoSpaceDE w:val="0"/>
        <w:autoSpaceDN w:val="0"/>
        <w:adjustRightInd w:val="0"/>
        <w:spacing w:after="0" w:line="240" w:lineRule="auto"/>
        <w:jc w:val="both"/>
        <w:rPr>
          <w:rFonts w:ascii="Times New Roman" w:hAnsi="Times New Roman" w:cs="Times New Roman"/>
          <w:color w:val="0000FF"/>
          <w:sz w:val="24"/>
          <w:szCs w:val="24"/>
          <w:lang w:val="en-US"/>
        </w:rPr>
      </w:pPr>
      <w:r w:rsidRPr="000477F3">
        <w:rPr>
          <w:rFonts w:ascii="Times New Roman" w:hAnsi="Times New Roman" w:cs="Times New Roman"/>
          <w:sz w:val="24"/>
          <w:szCs w:val="24"/>
          <w:lang w:val="en-US"/>
        </w:rPr>
        <w:t xml:space="preserve">European </w:t>
      </w:r>
      <w:r w:rsidR="000C3209" w:rsidRPr="000477F3">
        <w:rPr>
          <w:rFonts w:ascii="Times New Roman" w:hAnsi="Times New Roman" w:cs="Times New Roman"/>
          <w:sz w:val="24"/>
          <w:szCs w:val="24"/>
          <w:lang w:val="en-US"/>
        </w:rPr>
        <w:t>Foundation</w:t>
      </w:r>
      <w:r w:rsidRPr="000477F3">
        <w:rPr>
          <w:rFonts w:ascii="Times New Roman" w:hAnsi="Times New Roman" w:cs="Times New Roman"/>
          <w:sz w:val="24"/>
          <w:szCs w:val="24"/>
          <w:lang w:val="en-US"/>
        </w:rPr>
        <w:t xml:space="preserve"> for the improvement of living and working conditions</w:t>
      </w:r>
      <w:r w:rsidR="000C3209" w:rsidRPr="000477F3">
        <w:rPr>
          <w:rFonts w:ascii="Times New Roman" w:hAnsi="Times New Roman" w:cs="Times New Roman"/>
          <w:sz w:val="24"/>
          <w:szCs w:val="24"/>
          <w:lang w:val="en-US" w:eastAsia="it-IT"/>
        </w:rPr>
        <w:t xml:space="preserve">. </w:t>
      </w:r>
      <w:r w:rsidRPr="000477F3">
        <w:rPr>
          <w:rFonts w:ascii="Times New Roman" w:hAnsi="Times New Roman" w:cs="Times New Roman"/>
          <w:sz w:val="24"/>
          <w:szCs w:val="24"/>
          <w:lang w:val="en-US" w:eastAsia="it-IT"/>
        </w:rPr>
        <w:t>2012.</w:t>
      </w:r>
      <w:r w:rsidRPr="000477F3">
        <w:rPr>
          <w:rFonts w:ascii="Times New Roman" w:hAnsi="Times New Roman" w:cs="Times New Roman"/>
          <w:b/>
          <w:sz w:val="24"/>
          <w:szCs w:val="24"/>
          <w:lang w:val="en-US" w:eastAsia="it-IT"/>
        </w:rPr>
        <w:t xml:space="preserve"> </w:t>
      </w:r>
      <w:r w:rsidRPr="000477F3">
        <w:rPr>
          <w:rFonts w:ascii="Times New Roman" w:hAnsi="Times New Roman" w:cs="Times New Roman"/>
          <w:i/>
          <w:sz w:val="24"/>
          <w:szCs w:val="24"/>
          <w:lang w:val="en-US"/>
        </w:rPr>
        <w:t>Employment and industrial relations in the hotels and restaurants sector</w:t>
      </w:r>
      <w:r w:rsidR="000C3209" w:rsidRPr="000477F3">
        <w:rPr>
          <w:rFonts w:ascii="Times New Roman" w:hAnsi="Times New Roman" w:cs="Times New Roman"/>
          <w:i/>
          <w:sz w:val="24"/>
          <w:szCs w:val="24"/>
          <w:lang w:val="en-US"/>
        </w:rPr>
        <w:t>,</w:t>
      </w:r>
      <w:r w:rsidR="000C3209" w:rsidRPr="000477F3">
        <w:rPr>
          <w:rFonts w:ascii="Times New Roman" w:hAnsi="Times New Roman" w:cs="Times New Roman"/>
          <w:sz w:val="24"/>
          <w:szCs w:val="24"/>
          <w:lang w:val="en-US"/>
        </w:rPr>
        <w:t xml:space="preserve"> </w:t>
      </w:r>
      <w:hyperlink r:id="rId20" w:history="1">
        <w:r w:rsidRPr="000477F3">
          <w:rPr>
            <w:rStyle w:val="Collegamentoipertestuale"/>
            <w:rFonts w:ascii="Times New Roman" w:hAnsi="Times New Roman" w:cs="Times New Roman"/>
            <w:sz w:val="24"/>
            <w:szCs w:val="24"/>
            <w:lang w:val="en-US"/>
          </w:rPr>
          <w:t>www.eurofound.europa.eu</w:t>
        </w:r>
      </w:hyperlink>
    </w:p>
    <w:p w:rsidR="00EC3498" w:rsidRPr="000477F3" w:rsidRDefault="00EC3498" w:rsidP="003F0EFF">
      <w:pPr>
        <w:autoSpaceDE w:val="0"/>
        <w:autoSpaceDN w:val="0"/>
        <w:adjustRightInd w:val="0"/>
        <w:spacing w:after="0" w:line="240" w:lineRule="auto"/>
        <w:jc w:val="both"/>
        <w:rPr>
          <w:rFonts w:ascii="Calibri" w:hAnsi="Calibri" w:cs="Calibri"/>
          <w:lang w:val="en-US"/>
        </w:rPr>
      </w:pPr>
    </w:p>
    <w:p w:rsidR="00EC3498" w:rsidRPr="000477F3" w:rsidRDefault="000C3209" w:rsidP="003F0EFF">
      <w:pPr>
        <w:autoSpaceDE w:val="0"/>
        <w:autoSpaceDN w:val="0"/>
        <w:adjustRightInd w:val="0"/>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Eurostat. 2011.</w:t>
      </w:r>
      <w:r w:rsidR="00EC3498" w:rsidRPr="000477F3">
        <w:rPr>
          <w:rFonts w:ascii="Times New Roman" w:hAnsi="Times New Roman" w:cs="Times New Roman"/>
          <w:sz w:val="24"/>
          <w:szCs w:val="24"/>
          <w:lang w:val="en-US"/>
        </w:rPr>
        <w:t xml:space="preserve"> </w:t>
      </w:r>
      <w:r w:rsidR="00EC3498" w:rsidRPr="000477F3">
        <w:rPr>
          <w:rFonts w:ascii="Times New Roman" w:hAnsi="Times New Roman" w:cs="Times New Roman"/>
          <w:i/>
          <w:iCs/>
          <w:sz w:val="24"/>
          <w:szCs w:val="24"/>
          <w:lang w:val="en-US"/>
        </w:rPr>
        <w:t>Accommodation and</w:t>
      </w:r>
      <w:r w:rsidR="000477F3" w:rsidRPr="000477F3">
        <w:rPr>
          <w:rFonts w:ascii="Times New Roman" w:hAnsi="Times New Roman" w:cs="Times New Roman"/>
          <w:i/>
          <w:iCs/>
          <w:sz w:val="24"/>
          <w:szCs w:val="24"/>
          <w:lang w:val="en-US"/>
        </w:rPr>
        <w:t xml:space="preserve"> </w:t>
      </w:r>
      <w:r w:rsidR="00EC3498" w:rsidRPr="000477F3">
        <w:rPr>
          <w:rFonts w:ascii="Times New Roman" w:hAnsi="Times New Roman" w:cs="Times New Roman"/>
          <w:i/>
          <w:iCs/>
          <w:sz w:val="24"/>
          <w:szCs w:val="24"/>
          <w:lang w:val="en-US"/>
        </w:rPr>
        <w:t xml:space="preserve"> food service activities (NACE Rev. 2</w:t>
      </w:r>
      <w:r w:rsidRPr="000477F3">
        <w:rPr>
          <w:rFonts w:ascii="Times New Roman" w:hAnsi="Times New Roman" w:cs="Times New Roman"/>
          <w:i/>
          <w:iCs/>
          <w:sz w:val="24"/>
          <w:szCs w:val="24"/>
          <w:lang w:val="en-US"/>
        </w:rPr>
        <w:t>)</w:t>
      </w:r>
      <w:r w:rsidR="00EC3498" w:rsidRPr="000477F3">
        <w:rPr>
          <w:rFonts w:ascii="Times New Roman" w:hAnsi="Times New Roman" w:cs="Times New Roman"/>
          <w:sz w:val="24"/>
          <w:szCs w:val="24"/>
          <w:lang w:val="en-US"/>
        </w:rPr>
        <w:t>, Statistics Explained</w:t>
      </w:r>
    </w:p>
    <w:p w:rsidR="00EC3498" w:rsidRDefault="00EC3498" w:rsidP="003F0EFF">
      <w:pPr>
        <w:autoSpaceDE w:val="0"/>
        <w:autoSpaceDN w:val="0"/>
        <w:adjustRightInd w:val="0"/>
        <w:spacing w:after="0" w:line="240" w:lineRule="auto"/>
        <w:jc w:val="both"/>
        <w:rPr>
          <w:rFonts w:ascii="Times New Roman" w:hAnsi="Times New Roman" w:cs="Times New Roman"/>
          <w:sz w:val="24"/>
          <w:szCs w:val="24"/>
          <w:lang w:val="en-US"/>
        </w:rPr>
      </w:pPr>
      <w:r w:rsidRPr="000477F3">
        <w:rPr>
          <w:rFonts w:ascii="Times New Roman" w:hAnsi="Times New Roman" w:cs="Times New Roman"/>
          <w:sz w:val="24"/>
          <w:szCs w:val="24"/>
          <w:lang w:val="en-US"/>
        </w:rPr>
        <w:t>(2011/10/5</w:t>
      </w:r>
      <w:r w:rsidR="000C3209" w:rsidRPr="000477F3">
        <w:rPr>
          <w:rFonts w:ascii="Times New Roman" w:hAnsi="Times New Roman" w:cs="Times New Roman"/>
          <w:sz w:val="24"/>
          <w:szCs w:val="24"/>
          <w:lang w:val="en-US"/>
        </w:rPr>
        <w:t>)</w:t>
      </w:r>
    </w:p>
    <w:p w:rsidR="005804E4" w:rsidRDefault="005804E4" w:rsidP="003F0EFF">
      <w:pPr>
        <w:autoSpaceDE w:val="0"/>
        <w:autoSpaceDN w:val="0"/>
        <w:adjustRightInd w:val="0"/>
        <w:spacing w:after="0" w:line="240" w:lineRule="auto"/>
        <w:jc w:val="both"/>
        <w:rPr>
          <w:rFonts w:ascii="Times New Roman" w:hAnsi="Times New Roman" w:cs="Times New Roman"/>
          <w:sz w:val="24"/>
          <w:szCs w:val="24"/>
          <w:lang w:val="en-US"/>
        </w:rPr>
      </w:pPr>
    </w:p>
    <w:p w:rsidR="005804E4" w:rsidRDefault="005804E4" w:rsidP="003F0EFF">
      <w:pPr>
        <w:autoSpaceDE w:val="0"/>
        <w:autoSpaceDN w:val="0"/>
        <w:adjustRightInd w:val="0"/>
        <w:spacing w:after="0" w:line="240" w:lineRule="auto"/>
        <w:jc w:val="both"/>
        <w:rPr>
          <w:rFonts w:ascii="Times New Roman" w:hAnsi="Times New Roman" w:cs="Times New Roman"/>
          <w:sz w:val="24"/>
          <w:lang w:val="en-US"/>
        </w:rPr>
      </w:pPr>
      <w:r w:rsidRPr="005804E4">
        <w:rPr>
          <w:rFonts w:ascii="Times New Roman" w:hAnsi="Times New Roman" w:cs="Times New Roman"/>
          <w:sz w:val="24"/>
          <w:lang w:val="en-US"/>
        </w:rPr>
        <w:t>European Agency for Safety and Health at Work</w:t>
      </w:r>
      <w:r w:rsidR="00F53729">
        <w:rPr>
          <w:rFonts w:ascii="Times New Roman" w:hAnsi="Times New Roman" w:cs="Times New Roman"/>
          <w:sz w:val="24"/>
          <w:lang w:val="en-US"/>
        </w:rPr>
        <w:t>. 2008</w:t>
      </w:r>
      <w:r w:rsidRPr="005804E4">
        <w:rPr>
          <w:rFonts w:ascii="Times New Roman" w:hAnsi="Times New Roman" w:cs="Times New Roman"/>
          <w:sz w:val="24"/>
          <w:lang w:val="en-US"/>
        </w:rPr>
        <w:t xml:space="preserve">. </w:t>
      </w:r>
      <w:r w:rsidRPr="005804E4">
        <w:rPr>
          <w:rFonts w:ascii="Times New Roman" w:hAnsi="Times New Roman" w:cs="Times New Roman"/>
          <w:i/>
          <w:sz w:val="24"/>
          <w:lang w:val="en-US"/>
        </w:rPr>
        <w:t>Good practice: accident prevention in HORECA</w:t>
      </w:r>
      <w:r w:rsidRPr="005804E4">
        <w:rPr>
          <w:rFonts w:ascii="Times New Roman" w:hAnsi="Times New Roman" w:cs="Times New Roman"/>
          <w:sz w:val="24"/>
          <w:lang w:val="en-US"/>
        </w:rPr>
        <w:t xml:space="preserve">,  </w:t>
      </w:r>
      <w:hyperlink r:id="rId21" w:history="1">
        <w:r w:rsidRPr="005804E4">
          <w:rPr>
            <w:rStyle w:val="Collegamentoipertestuale"/>
            <w:rFonts w:ascii="Times New Roman" w:hAnsi="Times New Roman" w:cs="Times New Roman"/>
            <w:sz w:val="24"/>
            <w:lang w:val="en-US"/>
          </w:rPr>
          <w:t>http://osha.europea.eu</w:t>
        </w:r>
      </w:hyperlink>
    </w:p>
    <w:p w:rsidR="005804E4" w:rsidRDefault="005804E4" w:rsidP="003F0EFF">
      <w:pPr>
        <w:autoSpaceDE w:val="0"/>
        <w:autoSpaceDN w:val="0"/>
        <w:adjustRightInd w:val="0"/>
        <w:spacing w:after="0" w:line="240" w:lineRule="auto"/>
        <w:jc w:val="both"/>
        <w:rPr>
          <w:rFonts w:ascii="Times New Roman" w:hAnsi="Times New Roman" w:cs="Times New Roman"/>
          <w:sz w:val="24"/>
          <w:lang w:val="en-US"/>
        </w:rPr>
      </w:pPr>
    </w:p>
    <w:p w:rsidR="005804E4" w:rsidRPr="005804E4" w:rsidRDefault="005804E4" w:rsidP="003F0EFF">
      <w:pPr>
        <w:autoSpaceDE w:val="0"/>
        <w:autoSpaceDN w:val="0"/>
        <w:adjustRightInd w:val="0"/>
        <w:spacing w:after="0" w:line="240" w:lineRule="auto"/>
        <w:jc w:val="both"/>
        <w:rPr>
          <w:rFonts w:ascii="Times New Roman" w:hAnsi="Times New Roman" w:cs="Times New Roman"/>
          <w:b/>
          <w:sz w:val="32"/>
          <w:szCs w:val="24"/>
          <w:lang w:val="en-US" w:eastAsia="it-IT"/>
        </w:rPr>
      </w:pPr>
      <w:r w:rsidRPr="005804E4">
        <w:rPr>
          <w:rFonts w:ascii="Times New Roman" w:hAnsi="Times New Roman" w:cs="Times New Roman"/>
          <w:sz w:val="24"/>
          <w:lang w:val="en-US"/>
        </w:rPr>
        <w:t>European Agency for Safety and Health at Work</w:t>
      </w:r>
      <w:r w:rsidR="00F53729">
        <w:rPr>
          <w:rFonts w:ascii="Times New Roman" w:hAnsi="Times New Roman" w:cs="Times New Roman"/>
          <w:sz w:val="24"/>
          <w:lang w:val="en-US"/>
        </w:rPr>
        <w:t>. 2008</w:t>
      </w:r>
      <w:r w:rsidRPr="005804E4">
        <w:rPr>
          <w:rFonts w:ascii="Times New Roman" w:hAnsi="Times New Roman" w:cs="Times New Roman"/>
          <w:sz w:val="24"/>
          <w:lang w:val="en-US"/>
        </w:rPr>
        <w:t xml:space="preserve">. </w:t>
      </w:r>
      <w:r w:rsidRPr="005804E4">
        <w:rPr>
          <w:rFonts w:ascii="Times New Roman" w:hAnsi="Times New Roman" w:cs="Times New Roman"/>
          <w:i/>
          <w:sz w:val="24"/>
          <w:lang w:val="en-US"/>
        </w:rPr>
        <w:t>Safety and health risks in HORECA</w:t>
      </w:r>
      <w:r>
        <w:rPr>
          <w:rFonts w:ascii="Times New Roman" w:hAnsi="Times New Roman" w:cs="Times New Roman"/>
          <w:sz w:val="24"/>
          <w:lang w:val="en-US"/>
        </w:rPr>
        <w:t xml:space="preserve">, </w:t>
      </w:r>
      <w:hyperlink r:id="rId22" w:history="1">
        <w:r w:rsidRPr="005804E4">
          <w:rPr>
            <w:rStyle w:val="Collegamentoipertestuale"/>
            <w:rFonts w:ascii="Times New Roman" w:hAnsi="Times New Roman" w:cs="Times New Roman"/>
            <w:sz w:val="24"/>
            <w:lang w:val="en-US"/>
          </w:rPr>
          <w:t>http://osha.europea.eu</w:t>
        </w:r>
      </w:hyperlink>
    </w:p>
    <w:sectPr w:rsidR="005804E4" w:rsidRPr="005804E4">
      <w:headerReference w:type="default" r:id="rId2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06B8" w:rsidRDefault="008406B8" w:rsidP="005804E4">
      <w:pPr>
        <w:spacing w:after="0" w:line="240" w:lineRule="auto"/>
      </w:pPr>
      <w:r>
        <w:separator/>
      </w:r>
    </w:p>
  </w:endnote>
  <w:endnote w:type="continuationSeparator" w:id="0">
    <w:p w:rsidR="008406B8" w:rsidRDefault="008406B8" w:rsidP="005804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altName w:val="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06B8" w:rsidRDefault="008406B8" w:rsidP="005804E4">
      <w:pPr>
        <w:spacing w:after="0" w:line="240" w:lineRule="auto"/>
      </w:pPr>
      <w:r>
        <w:separator/>
      </w:r>
    </w:p>
  </w:footnote>
  <w:footnote w:type="continuationSeparator" w:id="0">
    <w:p w:rsidR="008406B8" w:rsidRDefault="008406B8" w:rsidP="005804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04E4" w:rsidRPr="005804E4" w:rsidRDefault="005804E4" w:rsidP="005804E4">
    <w:pPr>
      <w:pStyle w:val="Intestazione"/>
      <w:rPr>
        <w:rFonts w:ascii="Times New Roman" w:hAnsi="Times New Roman" w:cs="Times New Roman"/>
        <w:i/>
        <w:sz w:val="20"/>
        <w:szCs w:val="20"/>
        <w:lang w:val="en-GB"/>
      </w:rPr>
    </w:pPr>
    <w:r w:rsidRPr="005804E4">
      <w:rPr>
        <w:rFonts w:ascii="Times New Roman" w:hAnsi="Times New Roman" w:cs="Times New Roman"/>
        <w:i/>
        <w:sz w:val="20"/>
        <w:szCs w:val="20"/>
        <w:lang w:val="en-GB"/>
      </w:rPr>
      <w:t>International Conference RAGUSA SHWA 2012  September 3-5, 2012 Ragusa - Italy</w:t>
    </w:r>
  </w:p>
  <w:p w:rsidR="005804E4" w:rsidRPr="005804E4" w:rsidRDefault="005804E4" w:rsidP="005804E4">
    <w:pPr>
      <w:pStyle w:val="Intestazione"/>
      <w:rPr>
        <w:rFonts w:ascii="Times New Roman" w:hAnsi="Times New Roman" w:cs="Times New Roman"/>
        <w:i/>
        <w:sz w:val="20"/>
        <w:szCs w:val="20"/>
        <w:lang w:val="en-GB"/>
      </w:rPr>
    </w:pPr>
    <w:r w:rsidRPr="005804E4">
      <w:rPr>
        <w:rFonts w:ascii="Times New Roman" w:hAnsi="Times New Roman" w:cs="Times New Roman"/>
        <w:i/>
        <w:sz w:val="20"/>
        <w:szCs w:val="20"/>
        <w:lang w:val="en-GB"/>
      </w:rPr>
      <w:t>“Safety Health and Welfare in Agro-food Agricultural and  Forest Systems”</w:t>
    </w:r>
  </w:p>
  <w:p w:rsidR="005804E4" w:rsidRPr="005804E4" w:rsidRDefault="005804E4">
    <w:pPr>
      <w:pStyle w:val="Intestazione"/>
      <w:rPr>
        <w:lang w:val="en-GB"/>
      </w:rPr>
    </w:pPr>
  </w:p>
  <w:p w:rsidR="005804E4" w:rsidRPr="005804E4" w:rsidRDefault="005804E4">
    <w:pPr>
      <w:pStyle w:val="Intestazione"/>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D4394"/>
    <w:multiLevelType w:val="hybridMultilevel"/>
    <w:tmpl w:val="9D7E63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F0037A1"/>
    <w:multiLevelType w:val="hybridMultilevel"/>
    <w:tmpl w:val="94D053AE"/>
    <w:lvl w:ilvl="0" w:tplc="C25CB512">
      <w:start w:val="1"/>
      <w:numFmt w:val="decimal"/>
      <w:pStyle w:val="Ente"/>
      <w:lvlText w:val="%1."/>
      <w:lvlJc w:val="left"/>
      <w:pPr>
        <w:tabs>
          <w:tab w:val="num" w:pos="284"/>
        </w:tabs>
        <w:ind w:left="284" w:hanging="284"/>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nsid w:val="1C8B4A11"/>
    <w:multiLevelType w:val="hybridMultilevel"/>
    <w:tmpl w:val="0F4C2868"/>
    <w:lvl w:ilvl="0" w:tplc="FD46F664">
      <w:start w:val="1"/>
      <w:numFmt w:val="lowerLetter"/>
      <w:lvlText w:val="(%1)"/>
      <w:lvlJc w:val="left"/>
      <w:pPr>
        <w:ind w:left="3900" w:hanging="360"/>
      </w:pPr>
      <w:rPr>
        <w:rFonts w:hint="default"/>
      </w:rPr>
    </w:lvl>
    <w:lvl w:ilvl="1" w:tplc="04100019" w:tentative="1">
      <w:start w:val="1"/>
      <w:numFmt w:val="lowerLetter"/>
      <w:lvlText w:val="%2."/>
      <w:lvlJc w:val="left"/>
      <w:pPr>
        <w:ind w:left="4620" w:hanging="360"/>
      </w:pPr>
    </w:lvl>
    <w:lvl w:ilvl="2" w:tplc="0410001B" w:tentative="1">
      <w:start w:val="1"/>
      <w:numFmt w:val="lowerRoman"/>
      <w:lvlText w:val="%3."/>
      <w:lvlJc w:val="right"/>
      <w:pPr>
        <w:ind w:left="5340" w:hanging="180"/>
      </w:pPr>
    </w:lvl>
    <w:lvl w:ilvl="3" w:tplc="0410000F" w:tentative="1">
      <w:start w:val="1"/>
      <w:numFmt w:val="decimal"/>
      <w:lvlText w:val="%4."/>
      <w:lvlJc w:val="left"/>
      <w:pPr>
        <w:ind w:left="6060" w:hanging="360"/>
      </w:pPr>
    </w:lvl>
    <w:lvl w:ilvl="4" w:tplc="04100019" w:tentative="1">
      <w:start w:val="1"/>
      <w:numFmt w:val="lowerLetter"/>
      <w:lvlText w:val="%5."/>
      <w:lvlJc w:val="left"/>
      <w:pPr>
        <w:ind w:left="6780" w:hanging="360"/>
      </w:pPr>
    </w:lvl>
    <w:lvl w:ilvl="5" w:tplc="0410001B" w:tentative="1">
      <w:start w:val="1"/>
      <w:numFmt w:val="lowerRoman"/>
      <w:lvlText w:val="%6."/>
      <w:lvlJc w:val="right"/>
      <w:pPr>
        <w:ind w:left="7500" w:hanging="180"/>
      </w:pPr>
    </w:lvl>
    <w:lvl w:ilvl="6" w:tplc="0410000F" w:tentative="1">
      <w:start w:val="1"/>
      <w:numFmt w:val="decimal"/>
      <w:lvlText w:val="%7."/>
      <w:lvlJc w:val="left"/>
      <w:pPr>
        <w:ind w:left="8220" w:hanging="360"/>
      </w:pPr>
    </w:lvl>
    <w:lvl w:ilvl="7" w:tplc="04100019" w:tentative="1">
      <w:start w:val="1"/>
      <w:numFmt w:val="lowerLetter"/>
      <w:lvlText w:val="%8."/>
      <w:lvlJc w:val="left"/>
      <w:pPr>
        <w:ind w:left="8940" w:hanging="360"/>
      </w:pPr>
    </w:lvl>
    <w:lvl w:ilvl="8" w:tplc="0410001B" w:tentative="1">
      <w:start w:val="1"/>
      <w:numFmt w:val="lowerRoman"/>
      <w:lvlText w:val="%9."/>
      <w:lvlJc w:val="right"/>
      <w:pPr>
        <w:ind w:left="9660" w:hanging="180"/>
      </w:pPr>
    </w:lvl>
  </w:abstractNum>
  <w:abstractNum w:abstractNumId="3">
    <w:nsid w:val="1D0F0730"/>
    <w:multiLevelType w:val="hybridMultilevel"/>
    <w:tmpl w:val="C910E0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C9050E3"/>
    <w:multiLevelType w:val="hybridMultilevel"/>
    <w:tmpl w:val="CF92A3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01430E8"/>
    <w:multiLevelType w:val="hybridMultilevel"/>
    <w:tmpl w:val="CEF07D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35BD55C2"/>
    <w:multiLevelType w:val="hybridMultilevel"/>
    <w:tmpl w:val="659436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48F40384"/>
    <w:multiLevelType w:val="hybridMultilevel"/>
    <w:tmpl w:val="290ABC0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4B3A2BFA"/>
    <w:multiLevelType w:val="hybridMultilevel"/>
    <w:tmpl w:val="B2DADD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65203615"/>
    <w:multiLevelType w:val="hybridMultilevel"/>
    <w:tmpl w:val="EE8026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73B406EA"/>
    <w:multiLevelType w:val="hybridMultilevel"/>
    <w:tmpl w:val="752EE83A"/>
    <w:lvl w:ilvl="0" w:tplc="0E5C2E58">
      <w:start w:val="1"/>
      <w:numFmt w:val="lowerLetter"/>
      <w:lvlText w:val="(%1)"/>
      <w:lvlJc w:val="left"/>
      <w:pPr>
        <w:ind w:left="3192" w:hanging="360"/>
      </w:pPr>
      <w:rPr>
        <w:rFonts w:hint="default"/>
      </w:rPr>
    </w:lvl>
    <w:lvl w:ilvl="1" w:tplc="04100019" w:tentative="1">
      <w:start w:val="1"/>
      <w:numFmt w:val="lowerLetter"/>
      <w:lvlText w:val="%2."/>
      <w:lvlJc w:val="left"/>
      <w:pPr>
        <w:ind w:left="3912" w:hanging="360"/>
      </w:pPr>
    </w:lvl>
    <w:lvl w:ilvl="2" w:tplc="0410001B" w:tentative="1">
      <w:start w:val="1"/>
      <w:numFmt w:val="lowerRoman"/>
      <w:lvlText w:val="%3."/>
      <w:lvlJc w:val="right"/>
      <w:pPr>
        <w:ind w:left="4632" w:hanging="180"/>
      </w:pPr>
    </w:lvl>
    <w:lvl w:ilvl="3" w:tplc="0410000F" w:tentative="1">
      <w:start w:val="1"/>
      <w:numFmt w:val="decimal"/>
      <w:lvlText w:val="%4."/>
      <w:lvlJc w:val="left"/>
      <w:pPr>
        <w:ind w:left="5352" w:hanging="360"/>
      </w:pPr>
    </w:lvl>
    <w:lvl w:ilvl="4" w:tplc="04100019" w:tentative="1">
      <w:start w:val="1"/>
      <w:numFmt w:val="lowerLetter"/>
      <w:lvlText w:val="%5."/>
      <w:lvlJc w:val="left"/>
      <w:pPr>
        <w:ind w:left="6072" w:hanging="360"/>
      </w:pPr>
    </w:lvl>
    <w:lvl w:ilvl="5" w:tplc="0410001B" w:tentative="1">
      <w:start w:val="1"/>
      <w:numFmt w:val="lowerRoman"/>
      <w:lvlText w:val="%6."/>
      <w:lvlJc w:val="right"/>
      <w:pPr>
        <w:ind w:left="6792" w:hanging="180"/>
      </w:pPr>
    </w:lvl>
    <w:lvl w:ilvl="6" w:tplc="0410000F" w:tentative="1">
      <w:start w:val="1"/>
      <w:numFmt w:val="decimal"/>
      <w:lvlText w:val="%7."/>
      <w:lvlJc w:val="left"/>
      <w:pPr>
        <w:ind w:left="7512" w:hanging="360"/>
      </w:pPr>
    </w:lvl>
    <w:lvl w:ilvl="7" w:tplc="04100019" w:tentative="1">
      <w:start w:val="1"/>
      <w:numFmt w:val="lowerLetter"/>
      <w:lvlText w:val="%8."/>
      <w:lvlJc w:val="left"/>
      <w:pPr>
        <w:ind w:left="8232" w:hanging="360"/>
      </w:pPr>
    </w:lvl>
    <w:lvl w:ilvl="8" w:tplc="0410001B" w:tentative="1">
      <w:start w:val="1"/>
      <w:numFmt w:val="lowerRoman"/>
      <w:lvlText w:val="%9."/>
      <w:lvlJc w:val="right"/>
      <w:pPr>
        <w:ind w:left="8952" w:hanging="180"/>
      </w:pPr>
    </w:lvl>
  </w:abstractNum>
  <w:abstractNum w:abstractNumId="11">
    <w:nsid w:val="756B5FEA"/>
    <w:multiLevelType w:val="hybridMultilevel"/>
    <w:tmpl w:val="AAFC0A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7E34716F"/>
    <w:multiLevelType w:val="hybridMultilevel"/>
    <w:tmpl w:val="A9663D4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3"/>
  </w:num>
  <w:num w:numId="3">
    <w:abstractNumId w:val="7"/>
  </w:num>
  <w:num w:numId="4">
    <w:abstractNumId w:val="9"/>
  </w:num>
  <w:num w:numId="5">
    <w:abstractNumId w:val="5"/>
  </w:num>
  <w:num w:numId="6">
    <w:abstractNumId w:val="8"/>
  </w:num>
  <w:num w:numId="7">
    <w:abstractNumId w:val="11"/>
  </w:num>
  <w:num w:numId="8">
    <w:abstractNumId w:val="4"/>
  </w:num>
  <w:num w:numId="9">
    <w:abstractNumId w:val="0"/>
  </w:num>
  <w:num w:numId="10">
    <w:abstractNumId w:val="6"/>
  </w:num>
  <w:num w:numId="11">
    <w:abstractNumId w:val="12"/>
  </w:num>
  <w:num w:numId="12">
    <w:abstractNumId w:val="1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D41"/>
    <w:rsid w:val="000330A1"/>
    <w:rsid w:val="000477F3"/>
    <w:rsid w:val="0005530F"/>
    <w:rsid w:val="00093B6F"/>
    <w:rsid w:val="000C3209"/>
    <w:rsid w:val="001F3AA6"/>
    <w:rsid w:val="00202E64"/>
    <w:rsid w:val="002518BA"/>
    <w:rsid w:val="00297134"/>
    <w:rsid w:val="002C76DD"/>
    <w:rsid w:val="002F70D7"/>
    <w:rsid w:val="00305538"/>
    <w:rsid w:val="0034021B"/>
    <w:rsid w:val="003878B5"/>
    <w:rsid w:val="003F0EFF"/>
    <w:rsid w:val="00406739"/>
    <w:rsid w:val="00442FA1"/>
    <w:rsid w:val="004E4A19"/>
    <w:rsid w:val="004F18D1"/>
    <w:rsid w:val="00512FB3"/>
    <w:rsid w:val="0052765F"/>
    <w:rsid w:val="00547CD7"/>
    <w:rsid w:val="00554527"/>
    <w:rsid w:val="00557483"/>
    <w:rsid w:val="005757A2"/>
    <w:rsid w:val="005804E4"/>
    <w:rsid w:val="00590183"/>
    <w:rsid w:val="005D00EF"/>
    <w:rsid w:val="005E0430"/>
    <w:rsid w:val="00602D41"/>
    <w:rsid w:val="0062290C"/>
    <w:rsid w:val="0068610B"/>
    <w:rsid w:val="006A37C4"/>
    <w:rsid w:val="006F4D83"/>
    <w:rsid w:val="00712C39"/>
    <w:rsid w:val="0076552A"/>
    <w:rsid w:val="00783850"/>
    <w:rsid w:val="00791E4E"/>
    <w:rsid w:val="00825518"/>
    <w:rsid w:val="008406B8"/>
    <w:rsid w:val="00856CDB"/>
    <w:rsid w:val="008662CF"/>
    <w:rsid w:val="008708AB"/>
    <w:rsid w:val="009C10E7"/>
    <w:rsid w:val="009F3EE6"/>
    <w:rsid w:val="00A52FE2"/>
    <w:rsid w:val="00AB4E7E"/>
    <w:rsid w:val="00AC1A54"/>
    <w:rsid w:val="00B20644"/>
    <w:rsid w:val="00B35393"/>
    <w:rsid w:val="00B66A6E"/>
    <w:rsid w:val="00D853F8"/>
    <w:rsid w:val="00D86A4D"/>
    <w:rsid w:val="00DA5CC7"/>
    <w:rsid w:val="00DC3E68"/>
    <w:rsid w:val="00DC5685"/>
    <w:rsid w:val="00E841D8"/>
    <w:rsid w:val="00EC3498"/>
    <w:rsid w:val="00F03A4F"/>
    <w:rsid w:val="00F53729"/>
    <w:rsid w:val="00F8709C"/>
    <w:rsid w:val="00FE72A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ori">
    <w:name w:val="Autori"/>
    <w:basedOn w:val="Normale"/>
    <w:rsid w:val="00602D41"/>
    <w:pPr>
      <w:spacing w:before="360" w:after="120" w:line="240" w:lineRule="auto"/>
    </w:pPr>
    <w:rPr>
      <w:rFonts w:ascii="Times New Roman" w:eastAsia="Times New Roman" w:hAnsi="Times New Roman" w:cs="Times New Roman"/>
      <w:i/>
      <w:iCs/>
      <w:sz w:val="24"/>
      <w:szCs w:val="24"/>
      <w:lang w:eastAsia="it-IT"/>
    </w:rPr>
  </w:style>
  <w:style w:type="paragraph" w:customStyle="1" w:styleId="Ente">
    <w:name w:val="Ente"/>
    <w:basedOn w:val="Normale"/>
    <w:rsid w:val="00602D41"/>
    <w:pPr>
      <w:numPr>
        <w:numId w:val="1"/>
      </w:numPr>
      <w:spacing w:after="0" w:line="240" w:lineRule="auto"/>
    </w:pPr>
    <w:rPr>
      <w:rFonts w:ascii="Times New Roman" w:eastAsia="Times New Roman" w:hAnsi="Times New Roman" w:cs="Times New Roman"/>
      <w:i/>
      <w:iCs/>
      <w:sz w:val="20"/>
      <w:szCs w:val="20"/>
      <w:lang w:eastAsia="it-IT"/>
    </w:rPr>
  </w:style>
  <w:style w:type="paragraph" w:customStyle="1" w:styleId="Titoloparagrafo">
    <w:name w:val="Titolo paragrafo"/>
    <w:basedOn w:val="Normale"/>
    <w:next w:val="Normale"/>
    <w:rsid w:val="00602D41"/>
    <w:pPr>
      <w:keepNext/>
      <w:spacing w:before="240" w:after="0" w:line="240" w:lineRule="auto"/>
      <w:jc w:val="both"/>
      <w:outlineLvl w:val="1"/>
    </w:pPr>
    <w:rPr>
      <w:rFonts w:ascii="Times New Roman" w:eastAsia="Times New Roman" w:hAnsi="Times New Roman" w:cs="Times New Roman"/>
      <w:b/>
      <w:bCs/>
      <w:sz w:val="24"/>
      <w:szCs w:val="24"/>
      <w:lang w:eastAsia="it-IT"/>
    </w:rPr>
  </w:style>
  <w:style w:type="paragraph" w:customStyle="1" w:styleId="Parolechiave">
    <w:name w:val="Parole chiave"/>
    <w:basedOn w:val="Normale"/>
    <w:next w:val="Titoloparagrafo"/>
    <w:rsid w:val="00602D41"/>
    <w:pPr>
      <w:spacing w:before="360" w:after="0" w:line="240" w:lineRule="auto"/>
    </w:pPr>
    <w:rPr>
      <w:rFonts w:ascii="Times New Roman" w:eastAsia="Times New Roman" w:hAnsi="Times New Roman" w:cs="Times New Roman"/>
      <w:i/>
      <w:iCs/>
      <w:sz w:val="24"/>
      <w:szCs w:val="24"/>
      <w:lang w:eastAsia="it-IT"/>
    </w:rPr>
  </w:style>
  <w:style w:type="paragraph" w:customStyle="1" w:styleId="Testo">
    <w:name w:val="Testo"/>
    <w:basedOn w:val="Normale"/>
    <w:rsid w:val="00554527"/>
    <w:pPr>
      <w:spacing w:after="0" w:line="240" w:lineRule="auto"/>
      <w:jc w:val="both"/>
    </w:pPr>
    <w:rPr>
      <w:rFonts w:ascii="Times New Roman" w:eastAsia="Times New Roman" w:hAnsi="Times New Roman" w:cs="Times New Roman"/>
      <w:sz w:val="24"/>
      <w:szCs w:val="24"/>
      <w:lang w:eastAsia="it-IT"/>
    </w:rPr>
  </w:style>
  <w:style w:type="character" w:customStyle="1" w:styleId="hps">
    <w:name w:val="hps"/>
    <w:rsid w:val="00554527"/>
  </w:style>
  <w:style w:type="character" w:customStyle="1" w:styleId="atn">
    <w:name w:val="atn"/>
    <w:rsid w:val="00554527"/>
  </w:style>
  <w:style w:type="paragraph" w:styleId="Testofumetto">
    <w:name w:val="Balloon Text"/>
    <w:basedOn w:val="Normale"/>
    <w:link w:val="TestofumettoCarattere"/>
    <w:uiPriority w:val="99"/>
    <w:semiHidden/>
    <w:unhideWhenUsed/>
    <w:rsid w:val="002C76D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C76DD"/>
    <w:rPr>
      <w:rFonts w:ascii="Tahoma" w:hAnsi="Tahoma" w:cs="Tahoma"/>
      <w:sz w:val="16"/>
      <w:szCs w:val="16"/>
    </w:rPr>
  </w:style>
  <w:style w:type="paragraph" w:customStyle="1" w:styleId="Default">
    <w:name w:val="Default"/>
    <w:rsid w:val="00712C39"/>
    <w:pPr>
      <w:autoSpaceDE w:val="0"/>
      <w:autoSpaceDN w:val="0"/>
      <w:adjustRightInd w:val="0"/>
      <w:spacing w:after="0" w:line="240" w:lineRule="auto"/>
    </w:pPr>
    <w:rPr>
      <w:rFonts w:ascii="Verdana" w:hAnsi="Verdana" w:cs="Verdana"/>
      <w:color w:val="000000"/>
      <w:sz w:val="24"/>
      <w:szCs w:val="24"/>
    </w:rPr>
  </w:style>
  <w:style w:type="paragraph" w:styleId="Paragrafoelenco">
    <w:name w:val="List Paragraph"/>
    <w:basedOn w:val="Normale"/>
    <w:uiPriority w:val="34"/>
    <w:qFormat/>
    <w:rsid w:val="001F3AA6"/>
    <w:pPr>
      <w:ind w:left="720"/>
      <w:contextualSpacing/>
    </w:pPr>
  </w:style>
  <w:style w:type="character" w:styleId="Collegamentoipertestuale">
    <w:name w:val="Hyperlink"/>
    <w:basedOn w:val="Carpredefinitoparagrafo"/>
    <w:uiPriority w:val="99"/>
    <w:unhideWhenUsed/>
    <w:rsid w:val="00EC3498"/>
    <w:rPr>
      <w:color w:val="0000FF" w:themeColor="hyperlink"/>
      <w:u w:val="single"/>
    </w:rPr>
  </w:style>
  <w:style w:type="paragraph" w:styleId="Intestazione">
    <w:name w:val="header"/>
    <w:basedOn w:val="Normale"/>
    <w:link w:val="IntestazioneCarattere"/>
    <w:unhideWhenUsed/>
    <w:rsid w:val="005804E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5804E4"/>
  </w:style>
  <w:style w:type="paragraph" w:styleId="Pidipagina">
    <w:name w:val="footer"/>
    <w:basedOn w:val="Normale"/>
    <w:link w:val="PidipaginaCarattere"/>
    <w:uiPriority w:val="99"/>
    <w:unhideWhenUsed/>
    <w:rsid w:val="005804E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804E4"/>
  </w:style>
  <w:style w:type="character" w:styleId="Collegamentovisitato">
    <w:name w:val="FollowedHyperlink"/>
    <w:basedOn w:val="Carpredefinitoparagrafo"/>
    <w:uiPriority w:val="99"/>
    <w:semiHidden/>
    <w:unhideWhenUsed/>
    <w:rsid w:val="005804E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ori">
    <w:name w:val="Autori"/>
    <w:basedOn w:val="Normale"/>
    <w:rsid w:val="00602D41"/>
    <w:pPr>
      <w:spacing w:before="360" w:after="120" w:line="240" w:lineRule="auto"/>
    </w:pPr>
    <w:rPr>
      <w:rFonts w:ascii="Times New Roman" w:eastAsia="Times New Roman" w:hAnsi="Times New Roman" w:cs="Times New Roman"/>
      <w:i/>
      <w:iCs/>
      <w:sz w:val="24"/>
      <w:szCs w:val="24"/>
      <w:lang w:eastAsia="it-IT"/>
    </w:rPr>
  </w:style>
  <w:style w:type="paragraph" w:customStyle="1" w:styleId="Ente">
    <w:name w:val="Ente"/>
    <w:basedOn w:val="Normale"/>
    <w:rsid w:val="00602D41"/>
    <w:pPr>
      <w:numPr>
        <w:numId w:val="1"/>
      </w:numPr>
      <w:spacing w:after="0" w:line="240" w:lineRule="auto"/>
    </w:pPr>
    <w:rPr>
      <w:rFonts w:ascii="Times New Roman" w:eastAsia="Times New Roman" w:hAnsi="Times New Roman" w:cs="Times New Roman"/>
      <w:i/>
      <w:iCs/>
      <w:sz w:val="20"/>
      <w:szCs w:val="20"/>
      <w:lang w:eastAsia="it-IT"/>
    </w:rPr>
  </w:style>
  <w:style w:type="paragraph" w:customStyle="1" w:styleId="Titoloparagrafo">
    <w:name w:val="Titolo paragrafo"/>
    <w:basedOn w:val="Normale"/>
    <w:next w:val="Normale"/>
    <w:rsid w:val="00602D41"/>
    <w:pPr>
      <w:keepNext/>
      <w:spacing w:before="240" w:after="0" w:line="240" w:lineRule="auto"/>
      <w:jc w:val="both"/>
      <w:outlineLvl w:val="1"/>
    </w:pPr>
    <w:rPr>
      <w:rFonts w:ascii="Times New Roman" w:eastAsia="Times New Roman" w:hAnsi="Times New Roman" w:cs="Times New Roman"/>
      <w:b/>
      <w:bCs/>
      <w:sz w:val="24"/>
      <w:szCs w:val="24"/>
      <w:lang w:eastAsia="it-IT"/>
    </w:rPr>
  </w:style>
  <w:style w:type="paragraph" w:customStyle="1" w:styleId="Parolechiave">
    <w:name w:val="Parole chiave"/>
    <w:basedOn w:val="Normale"/>
    <w:next w:val="Titoloparagrafo"/>
    <w:rsid w:val="00602D41"/>
    <w:pPr>
      <w:spacing w:before="360" w:after="0" w:line="240" w:lineRule="auto"/>
    </w:pPr>
    <w:rPr>
      <w:rFonts w:ascii="Times New Roman" w:eastAsia="Times New Roman" w:hAnsi="Times New Roman" w:cs="Times New Roman"/>
      <w:i/>
      <w:iCs/>
      <w:sz w:val="24"/>
      <w:szCs w:val="24"/>
      <w:lang w:eastAsia="it-IT"/>
    </w:rPr>
  </w:style>
  <w:style w:type="paragraph" w:customStyle="1" w:styleId="Testo">
    <w:name w:val="Testo"/>
    <w:basedOn w:val="Normale"/>
    <w:rsid w:val="00554527"/>
    <w:pPr>
      <w:spacing w:after="0" w:line="240" w:lineRule="auto"/>
      <w:jc w:val="both"/>
    </w:pPr>
    <w:rPr>
      <w:rFonts w:ascii="Times New Roman" w:eastAsia="Times New Roman" w:hAnsi="Times New Roman" w:cs="Times New Roman"/>
      <w:sz w:val="24"/>
      <w:szCs w:val="24"/>
      <w:lang w:eastAsia="it-IT"/>
    </w:rPr>
  </w:style>
  <w:style w:type="character" w:customStyle="1" w:styleId="hps">
    <w:name w:val="hps"/>
    <w:rsid w:val="00554527"/>
  </w:style>
  <w:style w:type="character" w:customStyle="1" w:styleId="atn">
    <w:name w:val="atn"/>
    <w:rsid w:val="00554527"/>
  </w:style>
  <w:style w:type="paragraph" w:styleId="Testofumetto">
    <w:name w:val="Balloon Text"/>
    <w:basedOn w:val="Normale"/>
    <w:link w:val="TestofumettoCarattere"/>
    <w:uiPriority w:val="99"/>
    <w:semiHidden/>
    <w:unhideWhenUsed/>
    <w:rsid w:val="002C76D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C76DD"/>
    <w:rPr>
      <w:rFonts w:ascii="Tahoma" w:hAnsi="Tahoma" w:cs="Tahoma"/>
      <w:sz w:val="16"/>
      <w:szCs w:val="16"/>
    </w:rPr>
  </w:style>
  <w:style w:type="paragraph" w:customStyle="1" w:styleId="Default">
    <w:name w:val="Default"/>
    <w:rsid w:val="00712C39"/>
    <w:pPr>
      <w:autoSpaceDE w:val="0"/>
      <w:autoSpaceDN w:val="0"/>
      <w:adjustRightInd w:val="0"/>
      <w:spacing w:after="0" w:line="240" w:lineRule="auto"/>
    </w:pPr>
    <w:rPr>
      <w:rFonts w:ascii="Verdana" w:hAnsi="Verdana" w:cs="Verdana"/>
      <w:color w:val="000000"/>
      <w:sz w:val="24"/>
      <w:szCs w:val="24"/>
    </w:rPr>
  </w:style>
  <w:style w:type="paragraph" w:styleId="Paragrafoelenco">
    <w:name w:val="List Paragraph"/>
    <w:basedOn w:val="Normale"/>
    <w:uiPriority w:val="34"/>
    <w:qFormat/>
    <w:rsid w:val="001F3AA6"/>
    <w:pPr>
      <w:ind w:left="720"/>
      <w:contextualSpacing/>
    </w:pPr>
  </w:style>
  <w:style w:type="character" w:styleId="Collegamentoipertestuale">
    <w:name w:val="Hyperlink"/>
    <w:basedOn w:val="Carpredefinitoparagrafo"/>
    <w:uiPriority w:val="99"/>
    <w:unhideWhenUsed/>
    <w:rsid w:val="00EC3498"/>
    <w:rPr>
      <w:color w:val="0000FF" w:themeColor="hyperlink"/>
      <w:u w:val="single"/>
    </w:rPr>
  </w:style>
  <w:style w:type="paragraph" w:styleId="Intestazione">
    <w:name w:val="header"/>
    <w:basedOn w:val="Normale"/>
    <w:link w:val="IntestazioneCarattere"/>
    <w:unhideWhenUsed/>
    <w:rsid w:val="005804E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5804E4"/>
  </w:style>
  <w:style w:type="paragraph" w:styleId="Pidipagina">
    <w:name w:val="footer"/>
    <w:basedOn w:val="Normale"/>
    <w:link w:val="PidipaginaCarattere"/>
    <w:uiPriority w:val="99"/>
    <w:unhideWhenUsed/>
    <w:rsid w:val="005804E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804E4"/>
  </w:style>
  <w:style w:type="character" w:styleId="Collegamentovisitato">
    <w:name w:val="FollowedHyperlink"/>
    <w:basedOn w:val="Carpredefinitoparagrafo"/>
    <w:uiPriority w:val="99"/>
    <w:semiHidden/>
    <w:unhideWhenUsed/>
    <w:rsid w:val="005804E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6922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4.xml"/><Relationship Id="rId18" Type="http://schemas.openxmlformats.org/officeDocument/2006/relationships/chart" Target="charts/chart9.xml"/><Relationship Id="rId3" Type="http://schemas.microsoft.com/office/2007/relationships/stylesWithEffects" Target="stylesWithEffects.xml"/><Relationship Id="rId21" Type="http://schemas.openxmlformats.org/officeDocument/2006/relationships/hyperlink" Target="http://osha.europea.eu"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hyperlink" Target="http://www.eurofound.europa.eu"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chart" Target="charts/chart5.xml"/><Relationship Id="rId22" Type="http://schemas.openxmlformats.org/officeDocument/2006/relationships/hyperlink" Target="http://osha.europea.e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Matteo%20Balasso\Tesi%20e%20dati\Analisi%20Attrezzature.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Riccardo\Desktop\SHWA%20RAGUSA%202012\Analisi%20Attrezzature%20Ingles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Matteo%20Balasso\Tesi%20e%20dati\Infortuni\Percentual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iccardo\Desktop\SHWA%20RAGUSA%202012\Percentuali%20INgles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iccardo\Desktop\SHWA%20RAGUSA%202012\Percentuali%20INgles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iccardo\Desktop\SHWA%20RAGUSA%202012\Percentuali%20INgles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iccardo\Desktop\SHWA%20RAGUSA%202012\Percentuali%20INglese.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Riccardo\Desktop\SHWA%20RAGUSA%202012\Percentuali%20INglese.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Riccardo\Desktop\SHWA%20RAGUSA%202012\Analisi%20Attrezzature%20Inglese.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Riccardo\Desktop\SHWA%20RAGUSA%202012\Analisi%20Attrezzature%20Ingles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it-IT" sz="1200"/>
              <a:t>Equipment</a:t>
            </a:r>
          </a:p>
        </c:rich>
      </c:tx>
      <c:overlay val="0"/>
    </c:title>
    <c:autoTitleDeleted val="0"/>
    <c:plotArea>
      <c:layout/>
      <c:scatterChart>
        <c:scatterStyle val="lineMarker"/>
        <c:varyColors val="0"/>
        <c:ser>
          <c:idx val="2"/>
          <c:order val="0"/>
          <c:tx>
            <c:strRef>
              <c:f>Grafici!$A$6</c:f>
              <c:strCache>
                <c:ptCount val="1"/>
                <c:pt idx="0">
                  <c:v>Limits of tolerability</c:v>
                </c:pt>
              </c:strCache>
            </c:strRef>
          </c:tx>
          <c:spPr>
            <a:ln>
              <a:solidFill>
                <a:srgbClr val="FF0000"/>
              </a:solidFill>
            </a:ln>
          </c:spPr>
          <c:marker>
            <c:symbol val="none"/>
          </c:marker>
          <c:xVal>
            <c:numRef>
              <c:f>Grafici!$B$6:$B$14</c:f>
              <c:numCache>
                <c:formatCode>0.0</c:formatCode>
                <c:ptCount val="9"/>
                <c:pt idx="0">
                  <c:v>0</c:v>
                </c:pt>
                <c:pt idx="1">
                  <c:v>0.5</c:v>
                </c:pt>
                <c:pt idx="2">
                  <c:v>1</c:v>
                </c:pt>
                <c:pt idx="3">
                  <c:v>1.5</c:v>
                </c:pt>
                <c:pt idx="4">
                  <c:v>2</c:v>
                </c:pt>
                <c:pt idx="5">
                  <c:v>2.5</c:v>
                </c:pt>
                <c:pt idx="6">
                  <c:v>3</c:v>
                </c:pt>
                <c:pt idx="7">
                  <c:v>3.5</c:v>
                </c:pt>
                <c:pt idx="8">
                  <c:v>4</c:v>
                </c:pt>
              </c:numCache>
            </c:numRef>
          </c:xVal>
          <c:yVal>
            <c:numRef>
              <c:f>Grafici!$C$6:$C$14</c:f>
              <c:numCache>
                <c:formatCode>0.0</c:formatCode>
                <c:ptCount val="9"/>
                <c:pt idx="0">
                  <c:v>4</c:v>
                </c:pt>
                <c:pt idx="1">
                  <c:v>3.5</c:v>
                </c:pt>
                <c:pt idx="2">
                  <c:v>3</c:v>
                </c:pt>
                <c:pt idx="3">
                  <c:v>2.5</c:v>
                </c:pt>
                <c:pt idx="4">
                  <c:v>2</c:v>
                </c:pt>
                <c:pt idx="5">
                  <c:v>1.5</c:v>
                </c:pt>
                <c:pt idx="6">
                  <c:v>1</c:v>
                </c:pt>
                <c:pt idx="7">
                  <c:v>0.5</c:v>
                </c:pt>
                <c:pt idx="8">
                  <c:v>0</c:v>
                </c:pt>
              </c:numCache>
            </c:numRef>
          </c:yVal>
          <c:smooth val="0"/>
        </c:ser>
        <c:ser>
          <c:idx val="3"/>
          <c:order val="1"/>
          <c:tx>
            <c:strRef>
              <c:f>Grafici!$A$16</c:f>
              <c:strCache>
                <c:ptCount val="1"/>
                <c:pt idx="0">
                  <c:v>Limits of acceptability</c:v>
                </c:pt>
              </c:strCache>
            </c:strRef>
          </c:tx>
          <c:spPr>
            <a:ln>
              <a:solidFill>
                <a:srgbClr val="FFFF00"/>
              </a:solidFill>
            </a:ln>
          </c:spPr>
          <c:marker>
            <c:symbol val="none"/>
          </c:marker>
          <c:xVal>
            <c:numRef>
              <c:f>Grafici!$B$16:$B$23</c:f>
              <c:numCache>
                <c:formatCode>0.0</c:formatCode>
                <c:ptCount val="8"/>
                <c:pt idx="0">
                  <c:v>0</c:v>
                </c:pt>
                <c:pt idx="1">
                  <c:v>0.5</c:v>
                </c:pt>
                <c:pt idx="2">
                  <c:v>1</c:v>
                </c:pt>
                <c:pt idx="3">
                  <c:v>1.5</c:v>
                </c:pt>
                <c:pt idx="4">
                  <c:v>2</c:v>
                </c:pt>
                <c:pt idx="5">
                  <c:v>2.5</c:v>
                </c:pt>
                <c:pt idx="6">
                  <c:v>3</c:v>
                </c:pt>
              </c:numCache>
            </c:numRef>
          </c:xVal>
          <c:yVal>
            <c:numRef>
              <c:f>Grafici!$C$16:$C$23</c:f>
              <c:numCache>
                <c:formatCode>0.0</c:formatCode>
                <c:ptCount val="8"/>
                <c:pt idx="0">
                  <c:v>3</c:v>
                </c:pt>
                <c:pt idx="1">
                  <c:v>2.5</c:v>
                </c:pt>
                <c:pt idx="2">
                  <c:v>2</c:v>
                </c:pt>
                <c:pt idx="3">
                  <c:v>1.5</c:v>
                </c:pt>
                <c:pt idx="4">
                  <c:v>1</c:v>
                </c:pt>
                <c:pt idx="5">
                  <c:v>0.5</c:v>
                </c:pt>
                <c:pt idx="6">
                  <c:v>0</c:v>
                </c:pt>
              </c:numCache>
            </c:numRef>
          </c:yVal>
          <c:smooth val="0"/>
        </c:ser>
        <c:dLbls>
          <c:showLegendKey val="0"/>
          <c:showVal val="0"/>
          <c:showCatName val="0"/>
          <c:showSerName val="0"/>
          <c:showPercent val="0"/>
          <c:showBubbleSize val="0"/>
        </c:dLbls>
        <c:axId val="158508736"/>
        <c:axId val="158509312"/>
      </c:scatterChart>
      <c:valAx>
        <c:axId val="158508736"/>
        <c:scaling>
          <c:orientation val="minMax"/>
          <c:max val="4"/>
          <c:min val="0"/>
        </c:scaling>
        <c:delete val="0"/>
        <c:axPos val="b"/>
        <c:title>
          <c:tx>
            <c:rich>
              <a:bodyPr/>
              <a:lstStyle/>
              <a:p>
                <a:pPr>
                  <a:defRPr/>
                </a:pPr>
                <a:r>
                  <a:rPr lang="it-IT"/>
                  <a:t>Probability</a:t>
                </a:r>
              </a:p>
            </c:rich>
          </c:tx>
          <c:overlay val="0"/>
        </c:title>
        <c:numFmt formatCode="0.0" sourceLinked="1"/>
        <c:majorTickMark val="none"/>
        <c:minorTickMark val="none"/>
        <c:tickLblPos val="nextTo"/>
        <c:crossAx val="158509312"/>
        <c:crosses val="autoZero"/>
        <c:crossBetween val="midCat"/>
        <c:majorUnit val="1"/>
      </c:valAx>
      <c:valAx>
        <c:axId val="158509312"/>
        <c:scaling>
          <c:orientation val="minMax"/>
          <c:max val="4"/>
          <c:min val="0"/>
        </c:scaling>
        <c:delete val="0"/>
        <c:axPos val="l"/>
        <c:majorGridlines/>
        <c:title>
          <c:tx>
            <c:rich>
              <a:bodyPr/>
              <a:lstStyle/>
              <a:p>
                <a:pPr>
                  <a:defRPr/>
                </a:pPr>
                <a:r>
                  <a:rPr lang="it-IT"/>
                  <a:t>Severity</a:t>
                </a:r>
              </a:p>
            </c:rich>
          </c:tx>
          <c:overlay val="0"/>
        </c:title>
        <c:numFmt formatCode="0.0" sourceLinked="1"/>
        <c:majorTickMark val="none"/>
        <c:minorTickMark val="none"/>
        <c:tickLblPos val="nextTo"/>
        <c:crossAx val="158508736"/>
        <c:crosses val="autoZero"/>
        <c:crossBetween val="midCat"/>
        <c:majorUnit val="1"/>
        <c:minorUnit val="0.5"/>
      </c:valAx>
    </c:plotArea>
    <c:legend>
      <c:legendPos val="r"/>
      <c:overlay val="0"/>
      <c:txPr>
        <a:bodyPr/>
        <a:lstStyle/>
        <a:p>
          <a:pPr>
            <a:defRPr sz="700"/>
          </a:pPr>
          <a:endParaRPr lang="it-IT"/>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it-IT" sz="1200"/>
              <a:t>SLICER</a:t>
            </a:r>
          </a:p>
        </c:rich>
      </c:tx>
      <c:overlay val="0"/>
    </c:title>
    <c:autoTitleDeleted val="0"/>
    <c:plotArea>
      <c:layout/>
      <c:scatterChart>
        <c:scatterStyle val="lineMarker"/>
        <c:varyColors val="0"/>
        <c:ser>
          <c:idx val="0"/>
          <c:order val="0"/>
          <c:tx>
            <c:strRef>
              <c:f>Grafici!$A$3</c:f>
              <c:strCache>
                <c:ptCount val="1"/>
                <c:pt idx="0">
                  <c:v>Danger cutting/wound</c:v>
                </c:pt>
              </c:strCache>
            </c:strRef>
          </c:tx>
          <c:spPr>
            <a:ln w="66675">
              <a:noFill/>
            </a:ln>
          </c:spPr>
          <c:xVal>
            <c:numRef>
              <c:f>Grafici!$B$3</c:f>
              <c:numCache>
                <c:formatCode>General</c:formatCode>
                <c:ptCount val="1"/>
                <c:pt idx="0">
                  <c:v>2</c:v>
                </c:pt>
              </c:numCache>
            </c:numRef>
          </c:xVal>
          <c:yVal>
            <c:numRef>
              <c:f>Grafici!$C$3</c:f>
              <c:numCache>
                <c:formatCode>General</c:formatCode>
                <c:ptCount val="1"/>
                <c:pt idx="0">
                  <c:v>3</c:v>
                </c:pt>
              </c:numCache>
            </c:numRef>
          </c:yVal>
          <c:smooth val="0"/>
        </c:ser>
        <c:ser>
          <c:idx val="1"/>
          <c:order val="1"/>
          <c:tx>
            <c:strRef>
              <c:f>Grafici!$A$4</c:f>
              <c:strCache>
                <c:ptCount val="1"/>
                <c:pt idx="0">
                  <c:v>Electric danger</c:v>
                </c:pt>
              </c:strCache>
            </c:strRef>
          </c:tx>
          <c:spPr>
            <a:ln w="66675">
              <a:noFill/>
            </a:ln>
          </c:spPr>
          <c:marker>
            <c:symbol val="square"/>
            <c:size val="13"/>
            <c:spPr>
              <a:solidFill>
                <a:srgbClr val="C00000"/>
              </a:solidFill>
            </c:spPr>
          </c:marker>
          <c:xVal>
            <c:numRef>
              <c:f>Grafici!$B$4</c:f>
              <c:numCache>
                <c:formatCode>General</c:formatCode>
                <c:ptCount val="1"/>
                <c:pt idx="0">
                  <c:v>1</c:v>
                </c:pt>
              </c:numCache>
            </c:numRef>
          </c:xVal>
          <c:yVal>
            <c:numRef>
              <c:f>Grafici!$C$4</c:f>
              <c:numCache>
                <c:formatCode>0</c:formatCode>
                <c:ptCount val="1"/>
                <c:pt idx="0">
                  <c:v>2</c:v>
                </c:pt>
              </c:numCache>
            </c:numRef>
          </c:yVal>
          <c:smooth val="0"/>
        </c:ser>
        <c:ser>
          <c:idx val="2"/>
          <c:order val="2"/>
          <c:tx>
            <c:strRef>
              <c:f>Grafici!$A$6</c:f>
              <c:strCache>
                <c:ptCount val="1"/>
                <c:pt idx="0">
                  <c:v>Limits of tolerability</c:v>
                </c:pt>
              </c:strCache>
            </c:strRef>
          </c:tx>
          <c:spPr>
            <a:ln>
              <a:solidFill>
                <a:srgbClr val="FF0000"/>
              </a:solidFill>
            </a:ln>
          </c:spPr>
          <c:marker>
            <c:symbol val="none"/>
          </c:marker>
          <c:xVal>
            <c:numRef>
              <c:f>Grafici!$B$6:$B$14</c:f>
              <c:numCache>
                <c:formatCode>0.0</c:formatCode>
                <c:ptCount val="9"/>
                <c:pt idx="0">
                  <c:v>0</c:v>
                </c:pt>
                <c:pt idx="1">
                  <c:v>0.5</c:v>
                </c:pt>
                <c:pt idx="2">
                  <c:v>1</c:v>
                </c:pt>
                <c:pt idx="3">
                  <c:v>1.5</c:v>
                </c:pt>
                <c:pt idx="4">
                  <c:v>2</c:v>
                </c:pt>
                <c:pt idx="5">
                  <c:v>2.5</c:v>
                </c:pt>
                <c:pt idx="6">
                  <c:v>3</c:v>
                </c:pt>
                <c:pt idx="7">
                  <c:v>3.5</c:v>
                </c:pt>
                <c:pt idx="8">
                  <c:v>4</c:v>
                </c:pt>
              </c:numCache>
            </c:numRef>
          </c:xVal>
          <c:yVal>
            <c:numRef>
              <c:f>Grafici!$C$6:$C$14</c:f>
              <c:numCache>
                <c:formatCode>0.0</c:formatCode>
                <c:ptCount val="9"/>
                <c:pt idx="0">
                  <c:v>4</c:v>
                </c:pt>
                <c:pt idx="1">
                  <c:v>3.5</c:v>
                </c:pt>
                <c:pt idx="2">
                  <c:v>3</c:v>
                </c:pt>
                <c:pt idx="3">
                  <c:v>2.5</c:v>
                </c:pt>
                <c:pt idx="4">
                  <c:v>2</c:v>
                </c:pt>
                <c:pt idx="5">
                  <c:v>1.5</c:v>
                </c:pt>
                <c:pt idx="6">
                  <c:v>1</c:v>
                </c:pt>
                <c:pt idx="7">
                  <c:v>0.5</c:v>
                </c:pt>
                <c:pt idx="8">
                  <c:v>0</c:v>
                </c:pt>
              </c:numCache>
            </c:numRef>
          </c:yVal>
          <c:smooth val="0"/>
        </c:ser>
        <c:ser>
          <c:idx val="3"/>
          <c:order val="3"/>
          <c:tx>
            <c:strRef>
              <c:f>Grafici!$A$16</c:f>
              <c:strCache>
                <c:ptCount val="1"/>
                <c:pt idx="0">
                  <c:v>Limits of acceptability</c:v>
                </c:pt>
              </c:strCache>
            </c:strRef>
          </c:tx>
          <c:spPr>
            <a:ln>
              <a:solidFill>
                <a:srgbClr val="FFFF00"/>
              </a:solidFill>
            </a:ln>
          </c:spPr>
          <c:marker>
            <c:symbol val="none"/>
          </c:marker>
          <c:xVal>
            <c:numRef>
              <c:f>Grafici!$B$16:$B$23</c:f>
              <c:numCache>
                <c:formatCode>0.0</c:formatCode>
                <c:ptCount val="8"/>
                <c:pt idx="0">
                  <c:v>0</c:v>
                </c:pt>
                <c:pt idx="1">
                  <c:v>0.5</c:v>
                </c:pt>
                <c:pt idx="2">
                  <c:v>1</c:v>
                </c:pt>
                <c:pt idx="3">
                  <c:v>1.5</c:v>
                </c:pt>
                <c:pt idx="4">
                  <c:v>2</c:v>
                </c:pt>
                <c:pt idx="5">
                  <c:v>2.5</c:v>
                </c:pt>
                <c:pt idx="6">
                  <c:v>3</c:v>
                </c:pt>
              </c:numCache>
            </c:numRef>
          </c:xVal>
          <c:yVal>
            <c:numRef>
              <c:f>Grafici!$C$16:$C$23</c:f>
              <c:numCache>
                <c:formatCode>0.0</c:formatCode>
                <c:ptCount val="8"/>
                <c:pt idx="0">
                  <c:v>3</c:v>
                </c:pt>
                <c:pt idx="1">
                  <c:v>2.5</c:v>
                </c:pt>
                <c:pt idx="2">
                  <c:v>2</c:v>
                </c:pt>
                <c:pt idx="3">
                  <c:v>1.5</c:v>
                </c:pt>
                <c:pt idx="4">
                  <c:v>1</c:v>
                </c:pt>
                <c:pt idx="5">
                  <c:v>0.5</c:v>
                </c:pt>
                <c:pt idx="6">
                  <c:v>0</c:v>
                </c:pt>
              </c:numCache>
            </c:numRef>
          </c:yVal>
          <c:smooth val="0"/>
        </c:ser>
        <c:dLbls>
          <c:showLegendKey val="0"/>
          <c:showVal val="0"/>
          <c:showCatName val="0"/>
          <c:showSerName val="0"/>
          <c:showPercent val="0"/>
          <c:showBubbleSize val="0"/>
        </c:dLbls>
        <c:axId val="189721984"/>
        <c:axId val="189722560"/>
      </c:scatterChart>
      <c:valAx>
        <c:axId val="189721984"/>
        <c:scaling>
          <c:orientation val="minMax"/>
          <c:max val="4"/>
          <c:min val="0"/>
        </c:scaling>
        <c:delete val="0"/>
        <c:axPos val="b"/>
        <c:title>
          <c:tx>
            <c:rich>
              <a:bodyPr/>
              <a:lstStyle/>
              <a:p>
                <a:pPr>
                  <a:defRPr/>
                </a:pPr>
                <a:r>
                  <a:rPr lang="it-IT"/>
                  <a:t>Probability</a:t>
                </a:r>
              </a:p>
            </c:rich>
          </c:tx>
          <c:overlay val="0"/>
        </c:title>
        <c:numFmt formatCode="General" sourceLinked="1"/>
        <c:majorTickMark val="none"/>
        <c:minorTickMark val="none"/>
        <c:tickLblPos val="nextTo"/>
        <c:crossAx val="189722560"/>
        <c:crosses val="autoZero"/>
        <c:crossBetween val="midCat"/>
        <c:majorUnit val="1"/>
      </c:valAx>
      <c:valAx>
        <c:axId val="189722560"/>
        <c:scaling>
          <c:orientation val="minMax"/>
          <c:max val="4"/>
          <c:min val="0"/>
        </c:scaling>
        <c:delete val="0"/>
        <c:axPos val="l"/>
        <c:majorGridlines/>
        <c:title>
          <c:tx>
            <c:rich>
              <a:bodyPr/>
              <a:lstStyle/>
              <a:p>
                <a:pPr>
                  <a:defRPr/>
                </a:pPr>
                <a:r>
                  <a:rPr lang="it-IT"/>
                  <a:t>Severity</a:t>
                </a:r>
              </a:p>
            </c:rich>
          </c:tx>
          <c:overlay val="0"/>
        </c:title>
        <c:numFmt formatCode="General" sourceLinked="1"/>
        <c:majorTickMark val="none"/>
        <c:minorTickMark val="none"/>
        <c:tickLblPos val="nextTo"/>
        <c:crossAx val="189721984"/>
        <c:crosses val="autoZero"/>
        <c:crossBetween val="midCat"/>
        <c:majorUnit val="1"/>
        <c:minorUnit val="0.5"/>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it-IT" sz="1200"/>
              <a:t>ENVIROMENT/PLACE</a:t>
            </a:r>
          </a:p>
        </c:rich>
      </c:tx>
      <c:overlay val="0"/>
    </c:title>
    <c:autoTitleDeleted val="0"/>
    <c:plotArea>
      <c:layout/>
      <c:barChart>
        <c:barDir val="col"/>
        <c:grouping val="clustered"/>
        <c:varyColors val="0"/>
        <c:ser>
          <c:idx val="0"/>
          <c:order val="0"/>
          <c:tx>
            <c:strRef>
              <c:f>Riepilogo!$B$57</c:f>
              <c:strCache>
                <c:ptCount val="1"/>
                <c:pt idx="0">
                  <c:v>2006</c:v>
                </c:pt>
              </c:strCache>
            </c:strRef>
          </c:tx>
          <c:invertIfNegative val="0"/>
          <c:cat>
            <c:strRef>
              <c:f>Riepilogo!$A$58:$A$65</c:f>
              <c:strCache>
                <c:ptCount val="8"/>
                <c:pt idx="0">
                  <c:v>On going</c:v>
                </c:pt>
                <c:pt idx="1">
                  <c:v>Kitchen</c:v>
                </c:pt>
                <c:pt idx="2">
                  <c:v>Canteen</c:v>
                </c:pt>
                <c:pt idx="3">
                  <c:v>Washing area</c:v>
                </c:pt>
                <c:pt idx="4">
                  <c:v>Scale</c:v>
                </c:pt>
                <c:pt idx="5">
                  <c:v>Dressing room</c:v>
                </c:pt>
                <c:pt idx="6">
                  <c:v>Corridoir</c:v>
                </c:pt>
                <c:pt idx="7">
                  <c:v>Other</c:v>
                </c:pt>
              </c:strCache>
            </c:strRef>
          </c:cat>
          <c:val>
            <c:numRef>
              <c:f>Riepilogo!$B$58:$B$65</c:f>
              <c:numCache>
                <c:formatCode>General</c:formatCode>
                <c:ptCount val="8"/>
                <c:pt idx="0">
                  <c:v>0.13609467455621302</c:v>
                </c:pt>
                <c:pt idx="1">
                  <c:v>0.73372781065088755</c:v>
                </c:pt>
                <c:pt idx="2">
                  <c:v>2.9585798816568046E-2</c:v>
                </c:pt>
                <c:pt idx="3">
                  <c:v>5.9171597633136093E-3</c:v>
                </c:pt>
                <c:pt idx="4">
                  <c:v>5.9171597633136093E-3</c:v>
                </c:pt>
                <c:pt idx="5">
                  <c:v>1.7751479289940829E-2</c:v>
                </c:pt>
                <c:pt idx="6">
                  <c:v>5.9171597633136093E-3</c:v>
                </c:pt>
                <c:pt idx="7">
                  <c:v>4.7337278106508875E-2</c:v>
                </c:pt>
              </c:numCache>
            </c:numRef>
          </c:val>
        </c:ser>
        <c:ser>
          <c:idx val="1"/>
          <c:order val="1"/>
          <c:tx>
            <c:strRef>
              <c:f>Riepilogo!$C$57</c:f>
              <c:strCache>
                <c:ptCount val="1"/>
                <c:pt idx="0">
                  <c:v>2007</c:v>
                </c:pt>
              </c:strCache>
            </c:strRef>
          </c:tx>
          <c:invertIfNegative val="0"/>
          <c:cat>
            <c:strRef>
              <c:f>Riepilogo!$A$58:$A$65</c:f>
              <c:strCache>
                <c:ptCount val="8"/>
                <c:pt idx="0">
                  <c:v>On going</c:v>
                </c:pt>
                <c:pt idx="1">
                  <c:v>Kitchen</c:v>
                </c:pt>
                <c:pt idx="2">
                  <c:v>Canteen</c:v>
                </c:pt>
                <c:pt idx="3">
                  <c:v>Washing area</c:v>
                </c:pt>
                <c:pt idx="4">
                  <c:v>Scale</c:v>
                </c:pt>
                <c:pt idx="5">
                  <c:v>Dressing room</c:v>
                </c:pt>
                <c:pt idx="6">
                  <c:v>Corridoir</c:v>
                </c:pt>
                <c:pt idx="7">
                  <c:v>Other</c:v>
                </c:pt>
              </c:strCache>
            </c:strRef>
          </c:cat>
          <c:val>
            <c:numRef>
              <c:f>Riepilogo!$C$58:$C$65</c:f>
              <c:numCache>
                <c:formatCode>General</c:formatCode>
                <c:ptCount val="8"/>
                <c:pt idx="0">
                  <c:v>0.11650485436893204</c:v>
                </c:pt>
                <c:pt idx="1">
                  <c:v>0.75242718446601942</c:v>
                </c:pt>
                <c:pt idx="2">
                  <c:v>9.7087378640776691E-3</c:v>
                </c:pt>
                <c:pt idx="3">
                  <c:v>1.4563106796116505E-2</c:v>
                </c:pt>
                <c:pt idx="4">
                  <c:v>1.4563106796116505E-2</c:v>
                </c:pt>
                <c:pt idx="5">
                  <c:v>1.9417475728155338E-2</c:v>
                </c:pt>
                <c:pt idx="6">
                  <c:v>9.7087378640776691E-3</c:v>
                </c:pt>
                <c:pt idx="7">
                  <c:v>5.8252427184466021E-2</c:v>
                </c:pt>
              </c:numCache>
            </c:numRef>
          </c:val>
        </c:ser>
        <c:ser>
          <c:idx val="2"/>
          <c:order val="2"/>
          <c:tx>
            <c:strRef>
              <c:f>Riepilogo!$D$57</c:f>
              <c:strCache>
                <c:ptCount val="1"/>
                <c:pt idx="0">
                  <c:v>2008</c:v>
                </c:pt>
              </c:strCache>
            </c:strRef>
          </c:tx>
          <c:invertIfNegative val="0"/>
          <c:cat>
            <c:strRef>
              <c:f>Riepilogo!$A$58:$A$65</c:f>
              <c:strCache>
                <c:ptCount val="8"/>
                <c:pt idx="0">
                  <c:v>On going</c:v>
                </c:pt>
                <c:pt idx="1">
                  <c:v>Kitchen</c:v>
                </c:pt>
                <c:pt idx="2">
                  <c:v>Canteen</c:v>
                </c:pt>
                <c:pt idx="3">
                  <c:v>Washing area</c:v>
                </c:pt>
                <c:pt idx="4">
                  <c:v>Scale</c:v>
                </c:pt>
                <c:pt idx="5">
                  <c:v>Dressing room</c:v>
                </c:pt>
                <c:pt idx="6">
                  <c:v>Corridoir</c:v>
                </c:pt>
                <c:pt idx="7">
                  <c:v>Other</c:v>
                </c:pt>
              </c:strCache>
            </c:strRef>
          </c:cat>
          <c:val>
            <c:numRef>
              <c:f>Riepilogo!$D$58:$D$65</c:f>
              <c:numCache>
                <c:formatCode>General</c:formatCode>
                <c:ptCount val="8"/>
                <c:pt idx="0">
                  <c:v>0.13245033112582782</c:v>
                </c:pt>
                <c:pt idx="1">
                  <c:v>0.62913907284768211</c:v>
                </c:pt>
                <c:pt idx="2">
                  <c:v>5.9602649006622516E-2</c:v>
                </c:pt>
                <c:pt idx="3">
                  <c:v>5.9602649006622516E-2</c:v>
                </c:pt>
                <c:pt idx="4">
                  <c:v>1.9867549668874173E-2</c:v>
                </c:pt>
                <c:pt idx="5">
                  <c:v>0</c:v>
                </c:pt>
                <c:pt idx="6">
                  <c:v>3.3112582781456956E-2</c:v>
                </c:pt>
                <c:pt idx="7">
                  <c:v>5.2980132450331126E-2</c:v>
                </c:pt>
              </c:numCache>
            </c:numRef>
          </c:val>
        </c:ser>
        <c:dLbls>
          <c:showLegendKey val="0"/>
          <c:showVal val="0"/>
          <c:showCatName val="0"/>
          <c:showSerName val="0"/>
          <c:showPercent val="0"/>
          <c:showBubbleSize val="0"/>
        </c:dLbls>
        <c:gapWidth val="150"/>
        <c:axId val="87276032"/>
        <c:axId val="158511040"/>
      </c:barChart>
      <c:catAx>
        <c:axId val="87276032"/>
        <c:scaling>
          <c:orientation val="minMax"/>
        </c:scaling>
        <c:delete val="0"/>
        <c:axPos val="b"/>
        <c:majorTickMark val="none"/>
        <c:minorTickMark val="none"/>
        <c:tickLblPos val="nextTo"/>
        <c:crossAx val="158511040"/>
        <c:crosses val="autoZero"/>
        <c:auto val="1"/>
        <c:lblAlgn val="ctr"/>
        <c:lblOffset val="100"/>
        <c:noMultiLvlLbl val="0"/>
      </c:catAx>
      <c:valAx>
        <c:axId val="158511040"/>
        <c:scaling>
          <c:orientation val="minMax"/>
        </c:scaling>
        <c:delete val="0"/>
        <c:axPos val="l"/>
        <c:majorGridlines/>
        <c:title>
          <c:tx>
            <c:rich>
              <a:bodyPr/>
              <a:lstStyle/>
              <a:p>
                <a:pPr>
                  <a:defRPr/>
                </a:pPr>
                <a:r>
                  <a:rPr lang="en-US"/>
                  <a:t>Percentage</a:t>
                </a:r>
                <a:r>
                  <a:rPr lang="en-US" baseline="0"/>
                  <a:t>    %</a:t>
                </a:r>
                <a:endParaRPr lang="en-US"/>
              </a:p>
            </c:rich>
          </c:tx>
          <c:overlay val="0"/>
        </c:title>
        <c:numFmt formatCode="0%" sourceLinked="0"/>
        <c:majorTickMark val="out"/>
        <c:minorTickMark val="none"/>
        <c:tickLblPos val="nextTo"/>
        <c:crossAx val="87276032"/>
        <c:crosses val="autoZero"/>
        <c:crossBetween val="between"/>
      </c:valAx>
    </c:plotArea>
    <c:legend>
      <c:legendPos val="r"/>
      <c:overlay val="0"/>
      <c:txPr>
        <a:bodyPr/>
        <a:lstStyle/>
        <a:p>
          <a:pPr>
            <a:defRPr sz="800"/>
          </a:pPr>
          <a:endParaRPr lang="it-IT"/>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en-US" sz="1200"/>
              <a:t>TYPE</a:t>
            </a:r>
            <a:r>
              <a:rPr lang="en-US" sz="1200" baseline="0"/>
              <a:t> OF DEMAGE</a:t>
            </a:r>
            <a:endParaRPr lang="en-US" sz="1200"/>
          </a:p>
        </c:rich>
      </c:tx>
      <c:overlay val="0"/>
    </c:title>
    <c:autoTitleDeleted val="0"/>
    <c:plotArea>
      <c:layout/>
      <c:barChart>
        <c:barDir val="col"/>
        <c:grouping val="clustered"/>
        <c:varyColors val="0"/>
        <c:ser>
          <c:idx val="0"/>
          <c:order val="0"/>
          <c:tx>
            <c:strRef>
              <c:f>Riepilogo!$B$3</c:f>
              <c:strCache>
                <c:ptCount val="1"/>
                <c:pt idx="0">
                  <c:v>2006</c:v>
                </c:pt>
              </c:strCache>
            </c:strRef>
          </c:tx>
          <c:invertIfNegative val="0"/>
          <c:cat>
            <c:strRef>
              <c:f>Riepilogo!$A$4:$A$16</c:f>
              <c:strCache>
                <c:ptCount val="13"/>
                <c:pt idx="0">
                  <c:v>Fall</c:v>
                </c:pt>
                <c:pt idx="1">
                  <c:v>Contact (chemicals) </c:v>
                </c:pt>
                <c:pt idx="2">
                  <c:v>Contusion </c:v>
                </c:pt>
                <c:pt idx="3">
                  <c:v>Distortion</c:v>
                </c:pt>
                <c:pt idx="4">
                  <c:v>Wound</c:v>
                </c:pt>
                <c:pt idx="5">
                  <c:v>Low back pain</c:v>
                </c:pt>
                <c:pt idx="6">
                  <c:v>Crush</c:v>
                </c:pt>
                <c:pt idx="7">
                  <c:v>Cutting</c:v>
                </c:pt>
                <c:pt idx="8">
                  <c:v>Trauma</c:v>
                </c:pt>
                <c:pt idx="9">
                  <c:v>Head Trauma</c:v>
                </c:pt>
                <c:pt idx="10">
                  <c:v>Burn</c:v>
                </c:pt>
                <c:pt idx="11">
                  <c:v>Fracture</c:v>
                </c:pt>
                <c:pt idx="12">
                  <c:v>Others</c:v>
                </c:pt>
              </c:strCache>
            </c:strRef>
          </c:cat>
          <c:val>
            <c:numRef>
              <c:f>Riepilogo!$B$4:$B$16</c:f>
              <c:numCache>
                <c:formatCode>General</c:formatCode>
                <c:ptCount val="13"/>
                <c:pt idx="0">
                  <c:v>0.13017751479289941</c:v>
                </c:pt>
                <c:pt idx="1">
                  <c:v>1.1834319526627219E-2</c:v>
                </c:pt>
                <c:pt idx="2">
                  <c:v>0.11834319526627218</c:v>
                </c:pt>
                <c:pt idx="3">
                  <c:v>7.1005917159763315E-2</c:v>
                </c:pt>
                <c:pt idx="4">
                  <c:v>0.13609467455621302</c:v>
                </c:pt>
                <c:pt idx="5">
                  <c:v>2.3668639053254437E-2</c:v>
                </c:pt>
                <c:pt idx="6">
                  <c:v>5.9171597633136092E-2</c:v>
                </c:pt>
                <c:pt idx="7">
                  <c:v>0.23668639053254437</c:v>
                </c:pt>
                <c:pt idx="8">
                  <c:v>0.10650887573964497</c:v>
                </c:pt>
                <c:pt idx="9">
                  <c:v>5.9171597633136093E-3</c:v>
                </c:pt>
                <c:pt idx="10">
                  <c:v>7.1005917159763315E-2</c:v>
                </c:pt>
                <c:pt idx="11">
                  <c:v>2.9585798816568046E-2</c:v>
                </c:pt>
                <c:pt idx="12">
                  <c:v>0</c:v>
                </c:pt>
              </c:numCache>
            </c:numRef>
          </c:val>
        </c:ser>
        <c:ser>
          <c:idx val="1"/>
          <c:order val="1"/>
          <c:tx>
            <c:strRef>
              <c:f>Riepilogo!$C$3</c:f>
              <c:strCache>
                <c:ptCount val="1"/>
                <c:pt idx="0">
                  <c:v>2007</c:v>
                </c:pt>
              </c:strCache>
            </c:strRef>
          </c:tx>
          <c:invertIfNegative val="0"/>
          <c:cat>
            <c:strRef>
              <c:f>Riepilogo!$A$4:$A$16</c:f>
              <c:strCache>
                <c:ptCount val="13"/>
                <c:pt idx="0">
                  <c:v>Fall</c:v>
                </c:pt>
                <c:pt idx="1">
                  <c:v>Contact (chemicals) </c:v>
                </c:pt>
                <c:pt idx="2">
                  <c:v>Contusion </c:v>
                </c:pt>
                <c:pt idx="3">
                  <c:v>Distortion</c:v>
                </c:pt>
                <c:pt idx="4">
                  <c:v>Wound</c:v>
                </c:pt>
                <c:pt idx="5">
                  <c:v>Low back pain</c:v>
                </c:pt>
                <c:pt idx="6">
                  <c:v>Crush</c:v>
                </c:pt>
                <c:pt idx="7">
                  <c:v>Cutting</c:v>
                </c:pt>
                <c:pt idx="8">
                  <c:v>Trauma</c:v>
                </c:pt>
                <c:pt idx="9">
                  <c:v>Head Trauma</c:v>
                </c:pt>
                <c:pt idx="10">
                  <c:v>Burn</c:v>
                </c:pt>
                <c:pt idx="11">
                  <c:v>Fracture</c:v>
                </c:pt>
                <c:pt idx="12">
                  <c:v>Others</c:v>
                </c:pt>
              </c:strCache>
            </c:strRef>
          </c:cat>
          <c:val>
            <c:numRef>
              <c:f>Riepilogo!$C$4:$C$16</c:f>
              <c:numCache>
                <c:formatCode>General</c:formatCode>
                <c:ptCount val="13"/>
                <c:pt idx="0">
                  <c:v>0.21844660194174756</c:v>
                </c:pt>
                <c:pt idx="1">
                  <c:v>1.9417475728155338E-2</c:v>
                </c:pt>
                <c:pt idx="2">
                  <c:v>0.13106796116504854</c:v>
                </c:pt>
                <c:pt idx="3">
                  <c:v>5.8252427184466021E-2</c:v>
                </c:pt>
                <c:pt idx="4">
                  <c:v>3.8834951456310676E-2</c:v>
                </c:pt>
                <c:pt idx="5">
                  <c:v>2.9126213592233011E-2</c:v>
                </c:pt>
                <c:pt idx="6">
                  <c:v>7.281553398058252E-2</c:v>
                </c:pt>
                <c:pt idx="7">
                  <c:v>0.25728155339805825</c:v>
                </c:pt>
                <c:pt idx="8">
                  <c:v>7.281553398058252E-2</c:v>
                </c:pt>
                <c:pt idx="9">
                  <c:v>2.4271844660194174E-2</c:v>
                </c:pt>
                <c:pt idx="10">
                  <c:v>4.8543689320388349E-2</c:v>
                </c:pt>
                <c:pt idx="11">
                  <c:v>4.8543689320388345E-3</c:v>
                </c:pt>
                <c:pt idx="12">
                  <c:v>2.4271844660194174E-2</c:v>
                </c:pt>
              </c:numCache>
            </c:numRef>
          </c:val>
        </c:ser>
        <c:ser>
          <c:idx val="2"/>
          <c:order val="2"/>
          <c:tx>
            <c:strRef>
              <c:f>Riepilogo!$D$3</c:f>
              <c:strCache>
                <c:ptCount val="1"/>
                <c:pt idx="0">
                  <c:v>2008</c:v>
                </c:pt>
              </c:strCache>
            </c:strRef>
          </c:tx>
          <c:invertIfNegative val="0"/>
          <c:cat>
            <c:strRef>
              <c:f>Riepilogo!$A$4:$A$16</c:f>
              <c:strCache>
                <c:ptCount val="13"/>
                <c:pt idx="0">
                  <c:v>Fall</c:v>
                </c:pt>
                <c:pt idx="1">
                  <c:v>Contact (chemicals) </c:v>
                </c:pt>
                <c:pt idx="2">
                  <c:v>Contusion </c:v>
                </c:pt>
                <c:pt idx="3">
                  <c:v>Distortion</c:v>
                </c:pt>
                <c:pt idx="4">
                  <c:v>Wound</c:v>
                </c:pt>
                <c:pt idx="5">
                  <c:v>Low back pain</c:v>
                </c:pt>
                <c:pt idx="6">
                  <c:v>Crush</c:v>
                </c:pt>
                <c:pt idx="7">
                  <c:v>Cutting</c:v>
                </c:pt>
                <c:pt idx="8">
                  <c:v>Trauma</c:v>
                </c:pt>
                <c:pt idx="9">
                  <c:v>Head Trauma</c:v>
                </c:pt>
                <c:pt idx="10">
                  <c:v>Burn</c:v>
                </c:pt>
                <c:pt idx="11">
                  <c:v>Fracture</c:v>
                </c:pt>
                <c:pt idx="12">
                  <c:v>Others</c:v>
                </c:pt>
              </c:strCache>
            </c:strRef>
          </c:cat>
          <c:val>
            <c:numRef>
              <c:f>Riepilogo!$D$4:$D$16</c:f>
              <c:numCache>
                <c:formatCode>General</c:formatCode>
                <c:ptCount val="13"/>
                <c:pt idx="0">
                  <c:v>0.15894039735099338</c:v>
                </c:pt>
                <c:pt idx="1">
                  <c:v>2.6490066225165563E-2</c:v>
                </c:pt>
                <c:pt idx="2">
                  <c:v>0.11258278145695365</c:v>
                </c:pt>
                <c:pt idx="3">
                  <c:v>5.2980132450331126E-2</c:v>
                </c:pt>
                <c:pt idx="4">
                  <c:v>7.2847682119205295E-2</c:v>
                </c:pt>
                <c:pt idx="5">
                  <c:v>3.9735099337748346E-2</c:v>
                </c:pt>
                <c:pt idx="6">
                  <c:v>6.6225165562913912E-2</c:v>
                </c:pt>
                <c:pt idx="7">
                  <c:v>0.23178807947019867</c:v>
                </c:pt>
                <c:pt idx="8">
                  <c:v>6.6225165562913912E-2</c:v>
                </c:pt>
                <c:pt idx="9">
                  <c:v>6.6225165562913907E-3</c:v>
                </c:pt>
                <c:pt idx="10">
                  <c:v>9.2715231788079472E-2</c:v>
                </c:pt>
                <c:pt idx="11">
                  <c:v>3.9735099337748346E-2</c:v>
                </c:pt>
                <c:pt idx="12">
                  <c:v>1.9867549668874173E-2</c:v>
                </c:pt>
              </c:numCache>
            </c:numRef>
          </c:val>
        </c:ser>
        <c:dLbls>
          <c:showLegendKey val="0"/>
          <c:showVal val="0"/>
          <c:showCatName val="0"/>
          <c:showSerName val="0"/>
          <c:showPercent val="0"/>
          <c:showBubbleSize val="0"/>
        </c:dLbls>
        <c:gapWidth val="150"/>
        <c:axId val="87276544"/>
        <c:axId val="158512768"/>
      </c:barChart>
      <c:catAx>
        <c:axId val="87276544"/>
        <c:scaling>
          <c:orientation val="minMax"/>
        </c:scaling>
        <c:delete val="0"/>
        <c:axPos val="b"/>
        <c:majorTickMark val="none"/>
        <c:minorTickMark val="none"/>
        <c:tickLblPos val="nextTo"/>
        <c:crossAx val="158512768"/>
        <c:crosses val="autoZero"/>
        <c:auto val="1"/>
        <c:lblAlgn val="ctr"/>
        <c:lblOffset val="100"/>
        <c:noMultiLvlLbl val="0"/>
      </c:catAx>
      <c:valAx>
        <c:axId val="158512768"/>
        <c:scaling>
          <c:orientation val="minMax"/>
        </c:scaling>
        <c:delete val="0"/>
        <c:axPos val="l"/>
        <c:majorGridlines/>
        <c:title>
          <c:tx>
            <c:rich>
              <a:bodyPr/>
              <a:lstStyle/>
              <a:p>
                <a:pPr>
                  <a:defRPr/>
                </a:pPr>
                <a:r>
                  <a:rPr lang="en-US"/>
                  <a:t>Percentuage</a:t>
                </a:r>
                <a:r>
                  <a:rPr lang="en-US" baseline="0"/>
                  <a:t>   %</a:t>
                </a:r>
                <a:r>
                  <a:rPr lang="en-US"/>
                  <a:t> </a:t>
                </a:r>
              </a:p>
            </c:rich>
          </c:tx>
          <c:overlay val="0"/>
        </c:title>
        <c:numFmt formatCode="0%" sourceLinked="0"/>
        <c:majorTickMark val="out"/>
        <c:minorTickMark val="none"/>
        <c:tickLblPos val="nextTo"/>
        <c:crossAx val="87276544"/>
        <c:crosses val="autoZero"/>
        <c:crossBetween val="between"/>
      </c:valAx>
    </c:plotArea>
    <c:legend>
      <c:legendPos val="r"/>
      <c:overlay val="0"/>
      <c:txPr>
        <a:bodyPr/>
        <a:lstStyle/>
        <a:p>
          <a:pPr>
            <a:defRPr sz="800"/>
          </a:pPr>
          <a:endParaRPr lang="it-IT"/>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it-IT" sz="1200"/>
              <a:t>EQUIPMENT</a:t>
            </a:r>
          </a:p>
        </c:rich>
      </c:tx>
      <c:overlay val="0"/>
    </c:title>
    <c:autoTitleDeleted val="0"/>
    <c:plotArea>
      <c:layout/>
      <c:barChart>
        <c:barDir val="col"/>
        <c:grouping val="clustered"/>
        <c:varyColors val="0"/>
        <c:ser>
          <c:idx val="0"/>
          <c:order val="0"/>
          <c:tx>
            <c:strRef>
              <c:f>Riepilogo!$B$39</c:f>
              <c:strCache>
                <c:ptCount val="1"/>
                <c:pt idx="0">
                  <c:v>2006</c:v>
                </c:pt>
              </c:strCache>
            </c:strRef>
          </c:tx>
          <c:invertIfNegative val="0"/>
          <c:cat>
            <c:strRef>
              <c:f>Riepilogo!$A$40:$A$48</c:f>
              <c:strCache>
                <c:ptCount val="9"/>
                <c:pt idx="0">
                  <c:v>chopping board</c:v>
                </c:pt>
                <c:pt idx="1">
                  <c:v>Cart</c:v>
                </c:pt>
                <c:pt idx="2">
                  <c:v>Knife</c:v>
                </c:pt>
                <c:pt idx="3">
                  <c:v>Dishes</c:v>
                </c:pt>
                <c:pt idx="4">
                  <c:v>Table</c:v>
                </c:pt>
                <c:pt idx="5">
                  <c:v>Dishwasher</c:v>
                </c:pt>
                <c:pt idx="6">
                  <c:v>Slicer</c:v>
                </c:pt>
                <c:pt idx="7">
                  <c:v>Cleaning products</c:v>
                </c:pt>
                <c:pt idx="8">
                  <c:v>Other</c:v>
                </c:pt>
              </c:strCache>
            </c:strRef>
          </c:cat>
          <c:val>
            <c:numRef>
              <c:f>Riepilogo!$B$40:$B$48</c:f>
              <c:numCache>
                <c:formatCode>General</c:formatCode>
                <c:ptCount val="9"/>
                <c:pt idx="0">
                  <c:v>5.9171597633136093E-3</c:v>
                </c:pt>
                <c:pt idx="1">
                  <c:v>8.8757396449704137E-2</c:v>
                </c:pt>
                <c:pt idx="2">
                  <c:v>0.15384615384615385</c:v>
                </c:pt>
                <c:pt idx="3">
                  <c:v>8.2840236686390539E-2</c:v>
                </c:pt>
                <c:pt idx="4">
                  <c:v>1.1834319526627219E-2</c:v>
                </c:pt>
                <c:pt idx="5">
                  <c:v>2.3668639053254437E-2</c:v>
                </c:pt>
                <c:pt idx="6">
                  <c:v>8.8757396449704137E-2</c:v>
                </c:pt>
                <c:pt idx="7">
                  <c:v>1.1834319526627219E-2</c:v>
                </c:pt>
                <c:pt idx="8">
                  <c:v>5.9171597633136093E-3</c:v>
                </c:pt>
              </c:numCache>
            </c:numRef>
          </c:val>
        </c:ser>
        <c:ser>
          <c:idx val="1"/>
          <c:order val="1"/>
          <c:tx>
            <c:strRef>
              <c:f>Riepilogo!$C$39</c:f>
              <c:strCache>
                <c:ptCount val="1"/>
                <c:pt idx="0">
                  <c:v>2007</c:v>
                </c:pt>
              </c:strCache>
            </c:strRef>
          </c:tx>
          <c:invertIfNegative val="0"/>
          <c:cat>
            <c:strRef>
              <c:f>Riepilogo!$A$40:$A$48</c:f>
              <c:strCache>
                <c:ptCount val="9"/>
                <c:pt idx="0">
                  <c:v>chopping board</c:v>
                </c:pt>
                <c:pt idx="1">
                  <c:v>Cart</c:v>
                </c:pt>
                <c:pt idx="2">
                  <c:v>Knife</c:v>
                </c:pt>
                <c:pt idx="3">
                  <c:v>Dishes</c:v>
                </c:pt>
                <c:pt idx="4">
                  <c:v>Table</c:v>
                </c:pt>
                <c:pt idx="5">
                  <c:v>Dishwasher</c:v>
                </c:pt>
                <c:pt idx="6">
                  <c:v>Slicer</c:v>
                </c:pt>
                <c:pt idx="7">
                  <c:v>Cleaning products</c:v>
                </c:pt>
                <c:pt idx="8">
                  <c:v>Other</c:v>
                </c:pt>
              </c:strCache>
            </c:strRef>
          </c:cat>
          <c:val>
            <c:numRef>
              <c:f>Riepilogo!$C$40:$C$48</c:f>
              <c:numCache>
                <c:formatCode>General</c:formatCode>
                <c:ptCount val="9"/>
                <c:pt idx="0">
                  <c:v>9.7087378640776691E-3</c:v>
                </c:pt>
                <c:pt idx="1">
                  <c:v>7.7669902912621352E-2</c:v>
                </c:pt>
                <c:pt idx="2">
                  <c:v>0.14563106796116504</c:v>
                </c:pt>
                <c:pt idx="3">
                  <c:v>8.7378640776699032E-2</c:v>
                </c:pt>
                <c:pt idx="4">
                  <c:v>4.8543689320388345E-3</c:v>
                </c:pt>
                <c:pt idx="5">
                  <c:v>2.9126213592233011E-2</c:v>
                </c:pt>
                <c:pt idx="6">
                  <c:v>5.3398058252427182E-2</c:v>
                </c:pt>
                <c:pt idx="7">
                  <c:v>4.8543689320388345E-3</c:v>
                </c:pt>
                <c:pt idx="8">
                  <c:v>4.3689320388349516E-2</c:v>
                </c:pt>
              </c:numCache>
            </c:numRef>
          </c:val>
        </c:ser>
        <c:ser>
          <c:idx val="2"/>
          <c:order val="2"/>
          <c:tx>
            <c:strRef>
              <c:f>Riepilogo!$D$39</c:f>
              <c:strCache>
                <c:ptCount val="1"/>
                <c:pt idx="0">
                  <c:v>2008</c:v>
                </c:pt>
              </c:strCache>
            </c:strRef>
          </c:tx>
          <c:invertIfNegative val="0"/>
          <c:cat>
            <c:strRef>
              <c:f>Riepilogo!$A$40:$A$48</c:f>
              <c:strCache>
                <c:ptCount val="9"/>
                <c:pt idx="0">
                  <c:v>chopping board</c:v>
                </c:pt>
                <c:pt idx="1">
                  <c:v>Cart</c:v>
                </c:pt>
                <c:pt idx="2">
                  <c:v>Knife</c:v>
                </c:pt>
                <c:pt idx="3">
                  <c:v>Dishes</c:v>
                </c:pt>
                <c:pt idx="4">
                  <c:v>Table</c:v>
                </c:pt>
                <c:pt idx="5">
                  <c:v>Dishwasher</c:v>
                </c:pt>
                <c:pt idx="6">
                  <c:v>Slicer</c:v>
                </c:pt>
                <c:pt idx="7">
                  <c:v>Cleaning products</c:v>
                </c:pt>
                <c:pt idx="8">
                  <c:v>Other</c:v>
                </c:pt>
              </c:strCache>
            </c:strRef>
          </c:cat>
          <c:val>
            <c:numRef>
              <c:f>Riepilogo!$D$40:$D$48</c:f>
              <c:numCache>
                <c:formatCode>General</c:formatCode>
                <c:ptCount val="9"/>
                <c:pt idx="0">
                  <c:v>6.6225165562913907E-3</c:v>
                </c:pt>
                <c:pt idx="1">
                  <c:v>6.6225165562913912E-2</c:v>
                </c:pt>
                <c:pt idx="2">
                  <c:v>0.11258278145695365</c:v>
                </c:pt>
                <c:pt idx="3">
                  <c:v>9.2715231788079472E-2</c:v>
                </c:pt>
                <c:pt idx="4">
                  <c:v>6.6225165562913907E-3</c:v>
                </c:pt>
                <c:pt idx="5">
                  <c:v>6.6225165562913907E-3</c:v>
                </c:pt>
                <c:pt idx="6">
                  <c:v>5.9602649006622516E-2</c:v>
                </c:pt>
                <c:pt idx="7">
                  <c:v>3.3112582781456956E-2</c:v>
                </c:pt>
                <c:pt idx="8">
                  <c:v>3.9735099337748346E-2</c:v>
                </c:pt>
              </c:numCache>
            </c:numRef>
          </c:val>
        </c:ser>
        <c:dLbls>
          <c:showLegendKey val="0"/>
          <c:showVal val="0"/>
          <c:showCatName val="0"/>
          <c:showSerName val="0"/>
          <c:showPercent val="0"/>
          <c:showBubbleSize val="0"/>
        </c:dLbls>
        <c:gapWidth val="150"/>
        <c:axId val="89086464"/>
        <c:axId val="158514496"/>
      </c:barChart>
      <c:catAx>
        <c:axId val="89086464"/>
        <c:scaling>
          <c:orientation val="minMax"/>
        </c:scaling>
        <c:delete val="0"/>
        <c:axPos val="b"/>
        <c:majorTickMark val="none"/>
        <c:minorTickMark val="none"/>
        <c:tickLblPos val="nextTo"/>
        <c:crossAx val="158514496"/>
        <c:crosses val="autoZero"/>
        <c:auto val="1"/>
        <c:lblAlgn val="ctr"/>
        <c:lblOffset val="100"/>
        <c:noMultiLvlLbl val="0"/>
      </c:catAx>
      <c:valAx>
        <c:axId val="158514496"/>
        <c:scaling>
          <c:orientation val="minMax"/>
        </c:scaling>
        <c:delete val="0"/>
        <c:axPos val="l"/>
        <c:majorGridlines/>
        <c:title>
          <c:tx>
            <c:rich>
              <a:bodyPr/>
              <a:lstStyle/>
              <a:p>
                <a:pPr>
                  <a:defRPr/>
                </a:pPr>
                <a:r>
                  <a:rPr lang="en-US"/>
                  <a:t>Percentuage</a:t>
                </a:r>
                <a:r>
                  <a:rPr lang="en-US" baseline="0"/>
                  <a:t>   %</a:t>
                </a:r>
                <a:endParaRPr lang="en-US"/>
              </a:p>
            </c:rich>
          </c:tx>
          <c:overlay val="0"/>
        </c:title>
        <c:numFmt formatCode="0%" sourceLinked="0"/>
        <c:majorTickMark val="out"/>
        <c:minorTickMark val="none"/>
        <c:tickLblPos val="nextTo"/>
        <c:crossAx val="89086464"/>
        <c:crosses val="autoZero"/>
        <c:crossBetween val="between"/>
      </c:valAx>
    </c:plotArea>
    <c:legend>
      <c:legendPos val="r"/>
      <c:overlay val="0"/>
      <c:txPr>
        <a:bodyPr/>
        <a:lstStyle/>
        <a:p>
          <a:pPr>
            <a:defRPr sz="800"/>
          </a:pPr>
          <a:endParaRPr lang="it-IT"/>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it-IT" sz="1200" baseline="0"/>
              <a:t>DAYS OF PROGNOSIS </a:t>
            </a:r>
            <a:endParaRPr lang="it-IT" sz="1200"/>
          </a:p>
        </c:rich>
      </c:tx>
      <c:overlay val="0"/>
    </c:title>
    <c:autoTitleDeleted val="0"/>
    <c:plotArea>
      <c:layout/>
      <c:barChart>
        <c:barDir val="col"/>
        <c:grouping val="clustered"/>
        <c:varyColors val="0"/>
        <c:ser>
          <c:idx val="0"/>
          <c:order val="0"/>
          <c:tx>
            <c:strRef>
              <c:f>Riepilogo!$B$76</c:f>
              <c:strCache>
                <c:ptCount val="1"/>
                <c:pt idx="0">
                  <c:v>2006</c:v>
                </c:pt>
              </c:strCache>
            </c:strRef>
          </c:tx>
          <c:invertIfNegative val="0"/>
          <c:cat>
            <c:strRef>
              <c:f>Riepilogo!$A$77:$A$81</c:f>
              <c:strCache>
                <c:ptCount val="5"/>
                <c:pt idx="0">
                  <c:v>less than 5 days</c:v>
                </c:pt>
                <c:pt idx="1">
                  <c:v>between 5 and 10 days</c:v>
                </c:pt>
                <c:pt idx="2">
                  <c:v>between 10 and 15 days</c:v>
                </c:pt>
                <c:pt idx="3">
                  <c:v>more than 15 days</c:v>
                </c:pt>
                <c:pt idx="4">
                  <c:v>Death</c:v>
                </c:pt>
              </c:strCache>
            </c:strRef>
          </c:cat>
          <c:val>
            <c:numRef>
              <c:f>Riepilogo!$B$77:$B$81</c:f>
              <c:numCache>
                <c:formatCode>General</c:formatCode>
                <c:ptCount val="5"/>
                <c:pt idx="0">
                  <c:v>0.1893491124260355</c:v>
                </c:pt>
                <c:pt idx="1">
                  <c:v>0.15976331360946747</c:v>
                </c:pt>
                <c:pt idx="2">
                  <c:v>0.18343195266272189</c:v>
                </c:pt>
                <c:pt idx="3">
                  <c:v>0.46745562130177515</c:v>
                </c:pt>
                <c:pt idx="4">
                  <c:v>0</c:v>
                </c:pt>
              </c:numCache>
            </c:numRef>
          </c:val>
        </c:ser>
        <c:ser>
          <c:idx val="1"/>
          <c:order val="1"/>
          <c:tx>
            <c:strRef>
              <c:f>Riepilogo!$C$76</c:f>
              <c:strCache>
                <c:ptCount val="1"/>
                <c:pt idx="0">
                  <c:v>2007</c:v>
                </c:pt>
              </c:strCache>
            </c:strRef>
          </c:tx>
          <c:invertIfNegative val="0"/>
          <c:cat>
            <c:strRef>
              <c:f>Riepilogo!$A$77:$A$81</c:f>
              <c:strCache>
                <c:ptCount val="5"/>
                <c:pt idx="0">
                  <c:v>less than 5 days</c:v>
                </c:pt>
                <c:pt idx="1">
                  <c:v>between 5 and 10 days</c:v>
                </c:pt>
                <c:pt idx="2">
                  <c:v>between 10 and 15 days</c:v>
                </c:pt>
                <c:pt idx="3">
                  <c:v>more than 15 days</c:v>
                </c:pt>
                <c:pt idx="4">
                  <c:v>Death</c:v>
                </c:pt>
              </c:strCache>
            </c:strRef>
          </c:cat>
          <c:val>
            <c:numRef>
              <c:f>Riepilogo!$C$77:$C$81</c:f>
              <c:numCache>
                <c:formatCode>General</c:formatCode>
                <c:ptCount val="5"/>
                <c:pt idx="0">
                  <c:v>0.16019417475728157</c:v>
                </c:pt>
                <c:pt idx="1">
                  <c:v>0.24271844660194175</c:v>
                </c:pt>
                <c:pt idx="2">
                  <c:v>0.22330097087378642</c:v>
                </c:pt>
                <c:pt idx="3">
                  <c:v>0.37378640776699029</c:v>
                </c:pt>
                <c:pt idx="4">
                  <c:v>0</c:v>
                </c:pt>
              </c:numCache>
            </c:numRef>
          </c:val>
        </c:ser>
        <c:ser>
          <c:idx val="2"/>
          <c:order val="2"/>
          <c:tx>
            <c:strRef>
              <c:f>Riepilogo!$D$76</c:f>
              <c:strCache>
                <c:ptCount val="1"/>
                <c:pt idx="0">
                  <c:v>2008</c:v>
                </c:pt>
              </c:strCache>
            </c:strRef>
          </c:tx>
          <c:invertIfNegative val="0"/>
          <c:cat>
            <c:strRef>
              <c:f>Riepilogo!$A$77:$A$81</c:f>
              <c:strCache>
                <c:ptCount val="5"/>
                <c:pt idx="0">
                  <c:v>less than 5 days</c:v>
                </c:pt>
                <c:pt idx="1">
                  <c:v>between 5 and 10 days</c:v>
                </c:pt>
                <c:pt idx="2">
                  <c:v>between 10 and 15 days</c:v>
                </c:pt>
                <c:pt idx="3">
                  <c:v>more than 15 days</c:v>
                </c:pt>
                <c:pt idx="4">
                  <c:v>Death</c:v>
                </c:pt>
              </c:strCache>
            </c:strRef>
          </c:cat>
          <c:val>
            <c:numRef>
              <c:f>Riepilogo!$D$77:$D$81</c:f>
              <c:numCache>
                <c:formatCode>General</c:formatCode>
                <c:ptCount val="5"/>
                <c:pt idx="0">
                  <c:v>0.3443708609271523</c:v>
                </c:pt>
                <c:pt idx="1">
                  <c:v>0.41059602649006621</c:v>
                </c:pt>
                <c:pt idx="2">
                  <c:v>0.13245033112582782</c:v>
                </c:pt>
                <c:pt idx="3">
                  <c:v>0.11258278145695365</c:v>
                </c:pt>
                <c:pt idx="4">
                  <c:v>6.6225165562913907E-3</c:v>
                </c:pt>
              </c:numCache>
            </c:numRef>
          </c:val>
        </c:ser>
        <c:dLbls>
          <c:showLegendKey val="0"/>
          <c:showVal val="0"/>
          <c:showCatName val="0"/>
          <c:showSerName val="0"/>
          <c:showPercent val="0"/>
          <c:showBubbleSize val="0"/>
        </c:dLbls>
        <c:gapWidth val="150"/>
        <c:axId val="87277056"/>
        <c:axId val="189449344"/>
      </c:barChart>
      <c:catAx>
        <c:axId val="87277056"/>
        <c:scaling>
          <c:orientation val="minMax"/>
        </c:scaling>
        <c:delete val="0"/>
        <c:axPos val="b"/>
        <c:majorTickMark val="none"/>
        <c:minorTickMark val="none"/>
        <c:tickLblPos val="nextTo"/>
        <c:crossAx val="189449344"/>
        <c:crosses val="autoZero"/>
        <c:auto val="1"/>
        <c:lblAlgn val="ctr"/>
        <c:lblOffset val="100"/>
        <c:noMultiLvlLbl val="0"/>
      </c:catAx>
      <c:valAx>
        <c:axId val="189449344"/>
        <c:scaling>
          <c:orientation val="minMax"/>
        </c:scaling>
        <c:delete val="0"/>
        <c:axPos val="l"/>
        <c:majorGridlines/>
        <c:title>
          <c:tx>
            <c:rich>
              <a:bodyPr/>
              <a:lstStyle/>
              <a:p>
                <a:pPr>
                  <a:defRPr/>
                </a:pPr>
                <a:r>
                  <a:rPr lang="en-US"/>
                  <a:t>Percentuages</a:t>
                </a:r>
                <a:r>
                  <a:rPr lang="en-US" baseline="0"/>
                  <a:t>    %</a:t>
                </a:r>
              </a:p>
            </c:rich>
          </c:tx>
          <c:overlay val="0"/>
        </c:title>
        <c:numFmt formatCode="0%" sourceLinked="0"/>
        <c:majorTickMark val="out"/>
        <c:minorTickMark val="none"/>
        <c:tickLblPos val="nextTo"/>
        <c:crossAx val="87277056"/>
        <c:crosses val="autoZero"/>
        <c:crossBetween val="between"/>
      </c:valAx>
    </c:plotArea>
    <c:legend>
      <c:legendPos val="r"/>
      <c:overlay val="0"/>
      <c:txPr>
        <a:bodyPr/>
        <a:lstStyle/>
        <a:p>
          <a:pPr>
            <a:defRPr sz="800"/>
          </a:pPr>
          <a:endParaRPr lang="it-IT"/>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lgn="ctr">
              <a:defRPr sz="1200"/>
            </a:pPr>
            <a:r>
              <a:rPr lang="it-IT" sz="1200" baseline="0"/>
              <a:t>Number of person </a:t>
            </a:r>
          </a:p>
          <a:p>
            <a:pPr algn="ctr">
              <a:defRPr sz="1200"/>
            </a:pPr>
            <a:r>
              <a:rPr lang="it-IT" sz="1200" baseline="0"/>
              <a:t>trained on safety</a:t>
            </a:r>
            <a:endParaRPr lang="it-IT" sz="1200"/>
          </a:p>
        </c:rich>
      </c:tx>
      <c:layout>
        <c:manualLayout>
          <c:xMode val="edge"/>
          <c:yMode val="edge"/>
          <c:x val="0.30545586341755221"/>
          <c:y val="6.6915169805728675E-2"/>
        </c:manualLayout>
      </c:layout>
      <c:overlay val="0"/>
    </c:title>
    <c:autoTitleDeleted val="0"/>
    <c:plotArea>
      <c:layout/>
      <c:barChart>
        <c:barDir val="col"/>
        <c:grouping val="clustered"/>
        <c:varyColors val="0"/>
        <c:ser>
          <c:idx val="0"/>
          <c:order val="0"/>
          <c:tx>
            <c:strRef>
              <c:f>Riepilogo!$A$113</c:f>
              <c:strCache>
                <c:ptCount val="1"/>
                <c:pt idx="0">
                  <c:v>2006</c:v>
                </c:pt>
              </c:strCache>
            </c:strRef>
          </c:tx>
          <c:invertIfNegative val="0"/>
          <c:val>
            <c:numRef>
              <c:f>Riepilogo!$B$113</c:f>
              <c:numCache>
                <c:formatCode>General</c:formatCode>
                <c:ptCount val="1"/>
                <c:pt idx="0">
                  <c:v>951</c:v>
                </c:pt>
              </c:numCache>
            </c:numRef>
          </c:val>
        </c:ser>
        <c:ser>
          <c:idx val="1"/>
          <c:order val="1"/>
          <c:tx>
            <c:strRef>
              <c:f>Riepilogo!$A$114</c:f>
              <c:strCache>
                <c:ptCount val="1"/>
                <c:pt idx="0">
                  <c:v>2007</c:v>
                </c:pt>
              </c:strCache>
            </c:strRef>
          </c:tx>
          <c:invertIfNegative val="0"/>
          <c:val>
            <c:numRef>
              <c:f>Riepilogo!$B$114</c:f>
              <c:numCache>
                <c:formatCode>General</c:formatCode>
                <c:ptCount val="1"/>
                <c:pt idx="0">
                  <c:v>833</c:v>
                </c:pt>
              </c:numCache>
            </c:numRef>
          </c:val>
        </c:ser>
        <c:ser>
          <c:idx val="2"/>
          <c:order val="2"/>
          <c:tx>
            <c:strRef>
              <c:f>Riepilogo!$A$115</c:f>
              <c:strCache>
                <c:ptCount val="1"/>
                <c:pt idx="0">
                  <c:v>2008</c:v>
                </c:pt>
              </c:strCache>
            </c:strRef>
          </c:tx>
          <c:invertIfNegative val="0"/>
          <c:val>
            <c:numRef>
              <c:f>Riepilogo!$B$115</c:f>
              <c:numCache>
                <c:formatCode>General</c:formatCode>
                <c:ptCount val="1"/>
                <c:pt idx="0">
                  <c:v>1295</c:v>
                </c:pt>
              </c:numCache>
            </c:numRef>
          </c:val>
        </c:ser>
        <c:dLbls>
          <c:showLegendKey val="0"/>
          <c:showVal val="1"/>
          <c:showCatName val="0"/>
          <c:showSerName val="0"/>
          <c:showPercent val="0"/>
          <c:showBubbleSize val="0"/>
        </c:dLbls>
        <c:gapWidth val="150"/>
        <c:overlap val="-25"/>
        <c:axId val="89083904"/>
        <c:axId val="189451648"/>
      </c:barChart>
      <c:catAx>
        <c:axId val="89083904"/>
        <c:scaling>
          <c:orientation val="minMax"/>
        </c:scaling>
        <c:delete val="1"/>
        <c:axPos val="b"/>
        <c:majorTickMark val="none"/>
        <c:minorTickMark val="none"/>
        <c:tickLblPos val="nextTo"/>
        <c:crossAx val="189451648"/>
        <c:crosses val="autoZero"/>
        <c:auto val="1"/>
        <c:lblAlgn val="ctr"/>
        <c:lblOffset val="100"/>
        <c:noMultiLvlLbl val="0"/>
      </c:catAx>
      <c:valAx>
        <c:axId val="189451648"/>
        <c:scaling>
          <c:orientation val="minMax"/>
        </c:scaling>
        <c:delete val="1"/>
        <c:axPos val="l"/>
        <c:numFmt formatCode="General" sourceLinked="1"/>
        <c:majorTickMark val="none"/>
        <c:minorTickMark val="none"/>
        <c:tickLblPos val="nextTo"/>
        <c:crossAx val="89083904"/>
        <c:crosses val="autoZero"/>
        <c:crossBetween val="between"/>
      </c:valAx>
    </c:plotArea>
    <c:legend>
      <c:legendPos val="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a:pPr>
            <a:r>
              <a:rPr lang="it-IT" sz="1400"/>
              <a:t>Number</a:t>
            </a:r>
            <a:r>
              <a:rPr lang="it-IT" sz="1400" baseline="0"/>
              <a:t> of accidents</a:t>
            </a:r>
            <a:endParaRPr lang="it-IT" sz="1400"/>
          </a:p>
        </c:rich>
      </c:tx>
      <c:overlay val="0"/>
    </c:title>
    <c:autoTitleDeleted val="0"/>
    <c:plotArea>
      <c:layout/>
      <c:barChart>
        <c:barDir val="col"/>
        <c:grouping val="clustered"/>
        <c:varyColors val="0"/>
        <c:ser>
          <c:idx val="0"/>
          <c:order val="0"/>
          <c:tx>
            <c:strRef>
              <c:f>Riepilogo!$A$97</c:f>
              <c:strCache>
                <c:ptCount val="1"/>
                <c:pt idx="0">
                  <c:v>2006</c:v>
                </c:pt>
              </c:strCache>
            </c:strRef>
          </c:tx>
          <c:invertIfNegative val="0"/>
          <c:val>
            <c:numRef>
              <c:f>Riepilogo!$B$97</c:f>
              <c:numCache>
                <c:formatCode>General</c:formatCode>
                <c:ptCount val="1"/>
                <c:pt idx="0">
                  <c:v>169</c:v>
                </c:pt>
              </c:numCache>
            </c:numRef>
          </c:val>
        </c:ser>
        <c:ser>
          <c:idx val="1"/>
          <c:order val="1"/>
          <c:tx>
            <c:strRef>
              <c:f>Riepilogo!$A$98</c:f>
              <c:strCache>
                <c:ptCount val="1"/>
                <c:pt idx="0">
                  <c:v>2007</c:v>
                </c:pt>
              </c:strCache>
            </c:strRef>
          </c:tx>
          <c:invertIfNegative val="0"/>
          <c:val>
            <c:numRef>
              <c:f>Riepilogo!$B$98</c:f>
              <c:numCache>
                <c:formatCode>General</c:formatCode>
                <c:ptCount val="1"/>
                <c:pt idx="0">
                  <c:v>206</c:v>
                </c:pt>
              </c:numCache>
            </c:numRef>
          </c:val>
        </c:ser>
        <c:ser>
          <c:idx val="2"/>
          <c:order val="2"/>
          <c:tx>
            <c:strRef>
              <c:f>Riepilogo!$A$99</c:f>
              <c:strCache>
                <c:ptCount val="1"/>
                <c:pt idx="0">
                  <c:v>2008</c:v>
                </c:pt>
              </c:strCache>
            </c:strRef>
          </c:tx>
          <c:invertIfNegative val="0"/>
          <c:val>
            <c:numRef>
              <c:f>Riepilogo!$B$99</c:f>
              <c:numCache>
                <c:formatCode>General</c:formatCode>
                <c:ptCount val="1"/>
                <c:pt idx="0">
                  <c:v>151</c:v>
                </c:pt>
              </c:numCache>
            </c:numRef>
          </c:val>
        </c:ser>
        <c:dLbls>
          <c:showLegendKey val="0"/>
          <c:showVal val="1"/>
          <c:showCatName val="0"/>
          <c:showSerName val="0"/>
          <c:showPercent val="0"/>
          <c:showBubbleSize val="0"/>
        </c:dLbls>
        <c:gapWidth val="150"/>
        <c:overlap val="-25"/>
        <c:axId val="141298176"/>
        <c:axId val="189452800"/>
      </c:barChart>
      <c:catAx>
        <c:axId val="141298176"/>
        <c:scaling>
          <c:orientation val="minMax"/>
        </c:scaling>
        <c:delete val="1"/>
        <c:axPos val="b"/>
        <c:majorTickMark val="none"/>
        <c:minorTickMark val="none"/>
        <c:tickLblPos val="nextTo"/>
        <c:crossAx val="189452800"/>
        <c:crosses val="autoZero"/>
        <c:auto val="1"/>
        <c:lblAlgn val="ctr"/>
        <c:lblOffset val="100"/>
        <c:noMultiLvlLbl val="0"/>
      </c:catAx>
      <c:valAx>
        <c:axId val="189452800"/>
        <c:scaling>
          <c:orientation val="minMax"/>
        </c:scaling>
        <c:delete val="1"/>
        <c:axPos val="l"/>
        <c:numFmt formatCode="General" sourceLinked="1"/>
        <c:majorTickMark val="out"/>
        <c:minorTickMark val="none"/>
        <c:tickLblPos val="nextTo"/>
        <c:crossAx val="141298176"/>
        <c:crosses val="autoZero"/>
        <c:crossBetween val="between"/>
      </c:valAx>
    </c:plotArea>
    <c:legend>
      <c:legendPos val="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it-IT" sz="1200"/>
              <a:t>CART</a:t>
            </a:r>
          </a:p>
        </c:rich>
      </c:tx>
      <c:overlay val="0"/>
    </c:title>
    <c:autoTitleDeleted val="0"/>
    <c:plotArea>
      <c:layout/>
      <c:scatterChart>
        <c:scatterStyle val="lineMarker"/>
        <c:varyColors val="0"/>
        <c:ser>
          <c:idx val="0"/>
          <c:order val="0"/>
          <c:tx>
            <c:strRef>
              <c:f>Grafici!$A$135</c:f>
              <c:strCache>
                <c:ptCount val="1"/>
                <c:pt idx="0">
                  <c:v>Danger of cutting/wound</c:v>
                </c:pt>
              </c:strCache>
            </c:strRef>
          </c:tx>
          <c:spPr>
            <a:ln w="66675">
              <a:noFill/>
            </a:ln>
          </c:spPr>
          <c:xVal>
            <c:numRef>
              <c:f>Grafici!$B$135</c:f>
              <c:numCache>
                <c:formatCode>General</c:formatCode>
                <c:ptCount val="1"/>
                <c:pt idx="0">
                  <c:v>1</c:v>
                </c:pt>
              </c:numCache>
            </c:numRef>
          </c:xVal>
          <c:yVal>
            <c:numRef>
              <c:f>Grafici!$C$135</c:f>
              <c:numCache>
                <c:formatCode>General</c:formatCode>
                <c:ptCount val="1"/>
                <c:pt idx="0">
                  <c:v>1</c:v>
                </c:pt>
              </c:numCache>
            </c:numRef>
          </c:yVal>
          <c:smooth val="0"/>
        </c:ser>
        <c:ser>
          <c:idx val="1"/>
          <c:order val="1"/>
          <c:tx>
            <c:strRef>
              <c:f>Grafici!$A$136</c:f>
              <c:strCache>
                <c:ptCount val="1"/>
                <c:pt idx="0">
                  <c:v>Danger of burns</c:v>
                </c:pt>
              </c:strCache>
            </c:strRef>
          </c:tx>
          <c:spPr>
            <a:ln w="66675">
              <a:noFill/>
            </a:ln>
          </c:spPr>
          <c:xVal>
            <c:numRef>
              <c:f>Grafici!$B$136</c:f>
              <c:numCache>
                <c:formatCode>General</c:formatCode>
                <c:ptCount val="1"/>
                <c:pt idx="0">
                  <c:v>1</c:v>
                </c:pt>
              </c:numCache>
            </c:numRef>
          </c:xVal>
          <c:yVal>
            <c:numRef>
              <c:f>Grafici!$C$136</c:f>
              <c:numCache>
                <c:formatCode>General</c:formatCode>
                <c:ptCount val="1"/>
                <c:pt idx="0">
                  <c:v>1</c:v>
                </c:pt>
              </c:numCache>
            </c:numRef>
          </c:yVal>
          <c:smooth val="0"/>
        </c:ser>
        <c:ser>
          <c:idx val="2"/>
          <c:order val="2"/>
          <c:tx>
            <c:strRef>
              <c:f>Grafici!$A$137</c:f>
              <c:strCache>
                <c:ptCount val="1"/>
                <c:pt idx="0">
                  <c:v>Danger of stumbling \ Fall</c:v>
                </c:pt>
              </c:strCache>
            </c:strRef>
          </c:tx>
          <c:spPr>
            <a:ln w="66675">
              <a:noFill/>
            </a:ln>
          </c:spPr>
          <c:xVal>
            <c:numRef>
              <c:f>Grafici!$B$137</c:f>
              <c:numCache>
                <c:formatCode>General</c:formatCode>
                <c:ptCount val="1"/>
                <c:pt idx="0">
                  <c:v>3</c:v>
                </c:pt>
              </c:numCache>
            </c:numRef>
          </c:xVal>
          <c:yVal>
            <c:numRef>
              <c:f>Grafici!$C$137</c:f>
              <c:numCache>
                <c:formatCode>General</c:formatCode>
                <c:ptCount val="1"/>
                <c:pt idx="0">
                  <c:v>2</c:v>
                </c:pt>
              </c:numCache>
            </c:numRef>
          </c:yVal>
          <c:smooth val="0"/>
        </c:ser>
        <c:ser>
          <c:idx val="3"/>
          <c:order val="3"/>
          <c:tx>
            <c:strRef>
              <c:f>Grafici!$A$138</c:f>
              <c:strCache>
                <c:ptCount val="1"/>
              </c:strCache>
            </c:strRef>
          </c:tx>
          <c:spPr>
            <a:ln w="66675">
              <a:noFill/>
            </a:ln>
          </c:spPr>
          <c:dPt>
            <c:idx val="0"/>
            <c:marker>
              <c:symbol val="x"/>
              <c:size val="13"/>
            </c:marker>
            <c:bubble3D val="0"/>
          </c:dPt>
          <c:xVal>
            <c:numRef>
              <c:f>Grafici!$B$138</c:f>
              <c:numCache>
                <c:formatCode>General</c:formatCode>
                <c:ptCount val="1"/>
              </c:numCache>
            </c:numRef>
          </c:xVal>
          <c:yVal>
            <c:numRef>
              <c:f>Grafici!$C$138</c:f>
              <c:numCache>
                <c:formatCode>General</c:formatCode>
                <c:ptCount val="1"/>
              </c:numCache>
            </c:numRef>
          </c:yVal>
          <c:smooth val="0"/>
        </c:ser>
        <c:ser>
          <c:idx val="4"/>
          <c:order val="4"/>
          <c:tx>
            <c:strRef>
              <c:f>Grafici!$A$139</c:f>
              <c:strCache>
                <c:ptCount val="1"/>
                <c:pt idx="0">
                  <c:v>Hazards due to loss of stability of the equipment</c:v>
                </c:pt>
              </c:strCache>
            </c:strRef>
          </c:tx>
          <c:spPr>
            <a:ln w="66675">
              <a:noFill/>
            </a:ln>
          </c:spPr>
          <c:xVal>
            <c:numRef>
              <c:f>Grafici!$B$139</c:f>
              <c:numCache>
                <c:formatCode>General</c:formatCode>
                <c:ptCount val="1"/>
                <c:pt idx="0">
                  <c:v>2</c:v>
                </c:pt>
              </c:numCache>
            </c:numRef>
          </c:xVal>
          <c:yVal>
            <c:numRef>
              <c:f>Grafici!$C$139</c:f>
              <c:numCache>
                <c:formatCode>General</c:formatCode>
                <c:ptCount val="1"/>
                <c:pt idx="0">
                  <c:v>2</c:v>
                </c:pt>
              </c:numCache>
            </c:numRef>
          </c:yVal>
          <c:smooth val="0"/>
        </c:ser>
        <c:ser>
          <c:idx val="5"/>
          <c:order val="5"/>
          <c:tx>
            <c:strRef>
              <c:f>Grafici!$A$140</c:f>
              <c:strCache>
                <c:ptCount val="1"/>
                <c:pt idx="0">
                  <c:v>Danger of crushing</c:v>
                </c:pt>
              </c:strCache>
            </c:strRef>
          </c:tx>
          <c:spPr>
            <a:ln w="66675">
              <a:noFill/>
            </a:ln>
          </c:spPr>
          <c:xVal>
            <c:numRef>
              <c:f>Grafici!$B$140</c:f>
              <c:numCache>
                <c:formatCode>General</c:formatCode>
                <c:ptCount val="1"/>
                <c:pt idx="0">
                  <c:v>3</c:v>
                </c:pt>
              </c:numCache>
            </c:numRef>
          </c:xVal>
          <c:yVal>
            <c:numRef>
              <c:f>Grafici!$C$140</c:f>
              <c:numCache>
                <c:formatCode>General</c:formatCode>
                <c:ptCount val="1"/>
                <c:pt idx="0">
                  <c:v>1</c:v>
                </c:pt>
              </c:numCache>
            </c:numRef>
          </c:yVal>
          <c:smooth val="0"/>
        </c:ser>
        <c:ser>
          <c:idx val="6"/>
          <c:order val="6"/>
          <c:tx>
            <c:strRef>
              <c:f>Grafici!$A$6</c:f>
              <c:strCache>
                <c:ptCount val="1"/>
                <c:pt idx="0">
                  <c:v>Limits of tolerability</c:v>
                </c:pt>
              </c:strCache>
            </c:strRef>
          </c:tx>
          <c:spPr>
            <a:ln>
              <a:solidFill>
                <a:srgbClr val="FF0000"/>
              </a:solidFill>
            </a:ln>
          </c:spPr>
          <c:marker>
            <c:symbol val="none"/>
          </c:marker>
          <c:xVal>
            <c:numRef>
              <c:f>Grafici!$B$6:$B$14</c:f>
              <c:numCache>
                <c:formatCode>0.0</c:formatCode>
                <c:ptCount val="9"/>
                <c:pt idx="0">
                  <c:v>0</c:v>
                </c:pt>
                <c:pt idx="1">
                  <c:v>0.5</c:v>
                </c:pt>
                <c:pt idx="2">
                  <c:v>1</c:v>
                </c:pt>
                <c:pt idx="3">
                  <c:v>1.5</c:v>
                </c:pt>
                <c:pt idx="4">
                  <c:v>2</c:v>
                </c:pt>
                <c:pt idx="5">
                  <c:v>2.5</c:v>
                </c:pt>
                <c:pt idx="6">
                  <c:v>3</c:v>
                </c:pt>
                <c:pt idx="7">
                  <c:v>3.5</c:v>
                </c:pt>
                <c:pt idx="8">
                  <c:v>4</c:v>
                </c:pt>
              </c:numCache>
            </c:numRef>
          </c:xVal>
          <c:yVal>
            <c:numRef>
              <c:f>Grafici!$C$6:$C$14</c:f>
              <c:numCache>
                <c:formatCode>0.0</c:formatCode>
                <c:ptCount val="9"/>
                <c:pt idx="0">
                  <c:v>4</c:v>
                </c:pt>
                <c:pt idx="1">
                  <c:v>3.5</c:v>
                </c:pt>
                <c:pt idx="2">
                  <c:v>3</c:v>
                </c:pt>
                <c:pt idx="3">
                  <c:v>2.5</c:v>
                </c:pt>
                <c:pt idx="4">
                  <c:v>2</c:v>
                </c:pt>
                <c:pt idx="5">
                  <c:v>1.5</c:v>
                </c:pt>
                <c:pt idx="6">
                  <c:v>1</c:v>
                </c:pt>
                <c:pt idx="7">
                  <c:v>0.5</c:v>
                </c:pt>
                <c:pt idx="8">
                  <c:v>0</c:v>
                </c:pt>
              </c:numCache>
            </c:numRef>
          </c:yVal>
          <c:smooth val="0"/>
        </c:ser>
        <c:ser>
          <c:idx val="7"/>
          <c:order val="7"/>
          <c:tx>
            <c:strRef>
              <c:f>Grafici!$A$16</c:f>
              <c:strCache>
                <c:ptCount val="1"/>
                <c:pt idx="0">
                  <c:v>Limits of acceptability</c:v>
                </c:pt>
              </c:strCache>
            </c:strRef>
          </c:tx>
          <c:spPr>
            <a:ln>
              <a:solidFill>
                <a:srgbClr val="FFFF00"/>
              </a:solidFill>
            </a:ln>
          </c:spPr>
          <c:marker>
            <c:symbol val="none"/>
          </c:marker>
          <c:xVal>
            <c:numRef>
              <c:f>Grafici!$B$16:$B$22</c:f>
              <c:numCache>
                <c:formatCode>0.0</c:formatCode>
                <c:ptCount val="7"/>
                <c:pt idx="0">
                  <c:v>0</c:v>
                </c:pt>
                <c:pt idx="1">
                  <c:v>0.5</c:v>
                </c:pt>
                <c:pt idx="2">
                  <c:v>1</c:v>
                </c:pt>
                <c:pt idx="3">
                  <c:v>1.5</c:v>
                </c:pt>
                <c:pt idx="4">
                  <c:v>2</c:v>
                </c:pt>
                <c:pt idx="5">
                  <c:v>2.5</c:v>
                </c:pt>
                <c:pt idx="6">
                  <c:v>3</c:v>
                </c:pt>
              </c:numCache>
            </c:numRef>
          </c:xVal>
          <c:yVal>
            <c:numRef>
              <c:f>Grafici!$C$16:$C$22</c:f>
              <c:numCache>
                <c:formatCode>0.0</c:formatCode>
                <c:ptCount val="7"/>
                <c:pt idx="0">
                  <c:v>3</c:v>
                </c:pt>
                <c:pt idx="1">
                  <c:v>2.5</c:v>
                </c:pt>
                <c:pt idx="2">
                  <c:v>2</c:v>
                </c:pt>
                <c:pt idx="3">
                  <c:v>1.5</c:v>
                </c:pt>
                <c:pt idx="4">
                  <c:v>1</c:v>
                </c:pt>
                <c:pt idx="5">
                  <c:v>0.5</c:v>
                </c:pt>
                <c:pt idx="6">
                  <c:v>0</c:v>
                </c:pt>
              </c:numCache>
            </c:numRef>
          </c:yVal>
          <c:smooth val="0"/>
        </c:ser>
        <c:dLbls>
          <c:showLegendKey val="0"/>
          <c:showVal val="0"/>
          <c:showCatName val="0"/>
          <c:showSerName val="0"/>
          <c:showPercent val="0"/>
          <c:showBubbleSize val="0"/>
        </c:dLbls>
        <c:axId val="189454528"/>
        <c:axId val="189455104"/>
      </c:scatterChart>
      <c:valAx>
        <c:axId val="189454528"/>
        <c:scaling>
          <c:orientation val="minMax"/>
          <c:max val="4"/>
          <c:min val="0"/>
        </c:scaling>
        <c:delete val="0"/>
        <c:axPos val="b"/>
        <c:title>
          <c:tx>
            <c:rich>
              <a:bodyPr/>
              <a:lstStyle/>
              <a:p>
                <a:pPr>
                  <a:defRPr/>
                </a:pPr>
                <a:r>
                  <a:rPr lang="it-IT"/>
                  <a:t>Probability</a:t>
                </a:r>
              </a:p>
            </c:rich>
          </c:tx>
          <c:overlay val="0"/>
        </c:title>
        <c:numFmt formatCode="General" sourceLinked="1"/>
        <c:majorTickMark val="none"/>
        <c:minorTickMark val="none"/>
        <c:tickLblPos val="nextTo"/>
        <c:crossAx val="189455104"/>
        <c:crosses val="autoZero"/>
        <c:crossBetween val="midCat"/>
        <c:majorUnit val="1"/>
      </c:valAx>
      <c:valAx>
        <c:axId val="189455104"/>
        <c:scaling>
          <c:orientation val="minMax"/>
          <c:max val="4"/>
          <c:min val="0"/>
        </c:scaling>
        <c:delete val="0"/>
        <c:axPos val="l"/>
        <c:majorGridlines/>
        <c:title>
          <c:tx>
            <c:rich>
              <a:bodyPr/>
              <a:lstStyle/>
              <a:p>
                <a:pPr>
                  <a:defRPr/>
                </a:pPr>
                <a:r>
                  <a:rPr lang="it-IT"/>
                  <a:t>Severity</a:t>
                </a:r>
              </a:p>
            </c:rich>
          </c:tx>
          <c:overlay val="0"/>
        </c:title>
        <c:numFmt formatCode="General" sourceLinked="1"/>
        <c:majorTickMark val="in"/>
        <c:minorTickMark val="none"/>
        <c:tickLblPos val="nextTo"/>
        <c:crossAx val="189454528"/>
        <c:crosses val="autoZero"/>
        <c:crossBetween val="midCat"/>
        <c:majorUnit val="1"/>
        <c:minorUnit val="0.1"/>
      </c:valAx>
    </c:plotArea>
    <c:legend>
      <c:legendPos val="r"/>
      <c:legendEntry>
        <c:idx val="3"/>
        <c:delete val="1"/>
      </c:legendEntry>
      <c:layout>
        <c:manualLayout>
          <c:xMode val="edge"/>
          <c:yMode val="edge"/>
          <c:x val="0.68126924711636616"/>
          <c:y val="0.19959253108808728"/>
          <c:w val="0.30125248577504449"/>
          <c:h val="0.72953659702642293"/>
        </c:manualLayout>
      </c:layout>
      <c:overlay val="0"/>
      <c:txPr>
        <a:bodyPr/>
        <a:lstStyle/>
        <a:p>
          <a:pPr>
            <a:defRPr sz="800"/>
          </a:pPr>
          <a:endParaRPr lang="it-IT"/>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pPr>
            <a:r>
              <a:rPr lang="en-US" sz="1200"/>
              <a:t>KNIFE</a:t>
            </a:r>
          </a:p>
        </c:rich>
      </c:tx>
      <c:overlay val="0"/>
    </c:title>
    <c:autoTitleDeleted val="0"/>
    <c:plotArea>
      <c:layout/>
      <c:scatterChart>
        <c:scatterStyle val="lineMarker"/>
        <c:varyColors val="0"/>
        <c:ser>
          <c:idx val="0"/>
          <c:order val="0"/>
          <c:tx>
            <c:strRef>
              <c:f>Grafici!$A$154</c:f>
              <c:strCache>
                <c:ptCount val="1"/>
                <c:pt idx="0">
                  <c:v>Danger cutting/wound</c:v>
                </c:pt>
              </c:strCache>
            </c:strRef>
          </c:tx>
          <c:spPr>
            <a:ln w="66675">
              <a:noFill/>
            </a:ln>
          </c:spPr>
          <c:xVal>
            <c:numRef>
              <c:f>Grafici!$B$154</c:f>
              <c:numCache>
                <c:formatCode>General</c:formatCode>
                <c:ptCount val="1"/>
                <c:pt idx="0">
                  <c:v>3</c:v>
                </c:pt>
              </c:numCache>
            </c:numRef>
          </c:xVal>
          <c:yVal>
            <c:numRef>
              <c:f>Grafici!$C$154</c:f>
              <c:numCache>
                <c:formatCode>General</c:formatCode>
                <c:ptCount val="1"/>
                <c:pt idx="0">
                  <c:v>2</c:v>
                </c:pt>
              </c:numCache>
            </c:numRef>
          </c:yVal>
          <c:smooth val="0"/>
        </c:ser>
        <c:ser>
          <c:idx val="1"/>
          <c:order val="1"/>
          <c:tx>
            <c:strRef>
              <c:f>Grafici!$A$155</c:f>
              <c:strCache>
                <c:ptCount val="1"/>
              </c:strCache>
            </c:strRef>
          </c:tx>
          <c:spPr>
            <a:ln w="66675">
              <a:noFill/>
            </a:ln>
          </c:spPr>
          <c:xVal>
            <c:numRef>
              <c:f>Grafici!$B$155</c:f>
              <c:numCache>
                <c:formatCode>General</c:formatCode>
                <c:ptCount val="1"/>
              </c:numCache>
            </c:numRef>
          </c:xVal>
          <c:yVal>
            <c:numRef>
              <c:f>Grafici!$C$155</c:f>
              <c:numCache>
                <c:formatCode>General</c:formatCode>
                <c:ptCount val="1"/>
              </c:numCache>
            </c:numRef>
          </c:yVal>
          <c:smooth val="0"/>
        </c:ser>
        <c:ser>
          <c:idx val="2"/>
          <c:order val="2"/>
          <c:tx>
            <c:strRef>
              <c:f>Grafici!$A$156</c:f>
              <c:strCache>
                <c:ptCount val="1"/>
              </c:strCache>
            </c:strRef>
          </c:tx>
          <c:spPr>
            <a:ln w="66675">
              <a:noFill/>
            </a:ln>
          </c:spPr>
          <c:xVal>
            <c:numRef>
              <c:f>Grafici!$B$156</c:f>
              <c:numCache>
                <c:formatCode>General</c:formatCode>
                <c:ptCount val="1"/>
              </c:numCache>
            </c:numRef>
          </c:xVal>
          <c:yVal>
            <c:numRef>
              <c:f>Grafici!$C$156</c:f>
              <c:numCache>
                <c:formatCode>General</c:formatCode>
                <c:ptCount val="1"/>
              </c:numCache>
            </c:numRef>
          </c:yVal>
          <c:smooth val="0"/>
        </c:ser>
        <c:ser>
          <c:idx val="3"/>
          <c:order val="3"/>
          <c:tx>
            <c:strRef>
              <c:f>Grafici!$A$6</c:f>
              <c:strCache>
                <c:ptCount val="1"/>
                <c:pt idx="0">
                  <c:v>Limits of tolerability</c:v>
                </c:pt>
              </c:strCache>
            </c:strRef>
          </c:tx>
          <c:spPr>
            <a:ln>
              <a:solidFill>
                <a:srgbClr val="FF0000"/>
              </a:solidFill>
            </a:ln>
          </c:spPr>
          <c:marker>
            <c:symbol val="none"/>
          </c:marker>
          <c:xVal>
            <c:numRef>
              <c:f>Grafici!$B$6:$B$14</c:f>
              <c:numCache>
                <c:formatCode>0.0</c:formatCode>
                <c:ptCount val="9"/>
                <c:pt idx="0">
                  <c:v>0</c:v>
                </c:pt>
                <c:pt idx="1">
                  <c:v>0.5</c:v>
                </c:pt>
                <c:pt idx="2">
                  <c:v>1</c:v>
                </c:pt>
                <c:pt idx="3">
                  <c:v>1.5</c:v>
                </c:pt>
                <c:pt idx="4">
                  <c:v>2</c:v>
                </c:pt>
                <c:pt idx="5">
                  <c:v>2.5</c:v>
                </c:pt>
                <c:pt idx="6">
                  <c:v>3</c:v>
                </c:pt>
                <c:pt idx="7">
                  <c:v>3.5</c:v>
                </c:pt>
                <c:pt idx="8">
                  <c:v>4</c:v>
                </c:pt>
              </c:numCache>
            </c:numRef>
          </c:xVal>
          <c:yVal>
            <c:numRef>
              <c:f>Grafici!$C$6:$C$14</c:f>
              <c:numCache>
                <c:formatCode>0.0</c:formatCode>
                <c:ptCount val="9"/>
                <c:pt idx="0">
                  <c:v>4</c:v>
                </c:pt>
                <c:pt idx="1">
                  <c:v>3.5</c:v>
                </c:pt>
                <c:pt idx="2">
                  <c:v>3</c:v>
                </c:pt>
                <c:pt idx="3">
                  <c:v>2.5</c:v>
                </c:pt>
                <c:pt idx="4">
                  <c:v>2</c:v>
                </c:pt>
                <c:pt idx="5">
                  <c:v>1.5</c:v>
                </c:pt>
                <c:pt idx="6">
                  <c:v>1</c:v>
                </c:pt>
                <c:pt idx="7">
                  <c:v>0.5</c:v>
                </c:pt>
                <c:pt idx="8">
                  <c:v>0</c:v>
                </c:pt>
              </c:numCache>
            </c:numRef>
          </c:yVal>
          <c:smooth val="0"/>
        </c:ser>
        <c:ser>
          <c:idx val="4"/>
          <c:order val="4"/>
          <c:tx>
            <c:strRef>
              <c:f>Grafici!$A$16</c:f>
              <c:strCache>
                <c:ptCount val="1"/>
                <c:pt idx="0">
                  <c:v>Limits of acceptability</c:v>
                </c:pt>
              </c:strCache>
            </c:strRef>
          </c:tx>
          <c:spPr>
            <a:ln>
              <a:solidFill>
                <a:srgbClr val="FFFF00"/>
              </a:solidFill>
            </a:ln>
          </c:spPr>
          <c:marker>
            <c:symbol val="none"/>
          </c:marker>
          <c:xVal>
            <c:numRef>
              <c:f>Grafici!$B$16:$B$22</c:f>
              <c:numCache>
                <c:formatCode>0.0</c:formatCode>
                <c:ptCount val="7"/>
                <c:pt idx="0">
                  <c:v>0</c:v>
                </c:pt>
                <c:pt idx="1">
                  <c:v>0.5</c:v>
                </c:pt>
                <c:pt idx="2">
                  <c:v>1</c:v>
                </c:pt>
                <c:pt idx="3">
                  <c:v>1.5</c:v>
                </c:pt>
                <c:pt idx="4">
                  <c:v>2</c:v>
                </c:pt>
                <c:pt idx="5">
                  <c:v>2.5</c:v>
                </c:pt>
                <c:pt idx="6">
                  <c:v>3</c:v>
                </c:pt>
              </c:numCache>
            </c:numRef>
          </c:xVal>
          <c:yVal>
            <c:numRef>
              <c:f>Grafici!$C$16:$C$22</c:f>
              <c:numCache>
                <c:formatCode>0.0</c:formatCode>
                <c:ptCount val="7"/>
                <c:pt idx="0">
                  <c:v>3</c:v>
                </c:pt>
                <c:pt idx="1">
                  <c:v>2.5</c:v>
                </c:pt>
                <c:pt idx="2">
                  <c:v>2</c:v>
                </c:pt>
                <c:pt idx="3">
                  <c:v>1.5</c:v>
                </c:pt>
                <c:pt idx="4">
                  <c:v>1</c:v>
                </c:pt>
                <c:pt idx="5">
                  <c:v>0.5</c:v>
                </c:pt>
                <c:pt idx="6">
                  <c:v>0</c:v>
                </c:pt>
              </c:numCache>
            </c:numRef>
          </c:yVal>
          <c:smooth val="0"/>
        </c:ser>
        <c:dLbls>
          <c:showLegendKey val="0"/>
          <c:showVal val="0"/>
          <c:showCatName val="0"/>
          <c:showSerName val="0"/>
          <c:showPercent val="0"/>
          <c:showBubbleSize val="0"/>
        </c:dLbls>
        <c:axId val="189719104"/>
        <c:axId val="189719680"/>
      </c:scatterChart>
      <c:valAx>
        <c:axId val="189719104"/>
        <c:scaling>
          <c:orientation val="minMax"/>
          <c:max val="4"/>
          <c:min val="0"/>
        </c:scaling>
        <c:delete val="0"/>
        <c:axPos val="b"/>
        <c:title>
          <c:tx>
            <c:rich>
              <a:bodyPr/>
              <a:lstStyle/>
              <a:p>
                <a:pPr>
                  <a:defRPr/>
                </a:pPr>
                <a:r>
                  <a:rPr lang="it-IT"/>
                  <a:t>Probability</a:t>
                </a:r>
              </a:p>
            </c:rich>
          </c:tx>
          <c:overlay val="0"/>
        </c:title>
        <c:numFmt formatCode="General" sourceLinked="1"/>
        <c:majorTickMark val="none"/>
        <c:minorTickMark val="none"/>
        <c:tickLblPos val="nextTo"/>
        <c:crossAx val="189719680"/>
        <c:crosses val="autoZero"/>
        <c:crossBetween val="midCat"/>
      </c:valAx>
      <c:valAx>
        <c:axId val="189719680"/>
        <c:scaling>
          <c:orientation val="minMax"/>
          <c:max val="4"/>
          <c:min val="0"/>
        </c:scaling>
        <c:delete val="0"/>
        <c:axPos val="l"/>
        <c:majorGridlines/>
        <c:title>
          <c:tx>
            <c:rich>
              <a:bodyPr/>
              <a:lstStyle/>
              <a:p>
                <a:pPr>
                  <a:defRPr/>
                </a:pPr>
                <a:r>
                  <a:rPr lang="it-IT"/>
                  <a:t>Severity</a:t>
                </a:r>
              </a:p>
            </c:rich>
          </c:tx>
          <c:overlay val="0"/>
        </c:title>
        <c:numFmt formatCode="General" sourceLinked="1"/>
        <c:majorTickMark val="none"/>
        <c:minorTickMark val="none"/>
        <c:tickLblPos val="nextTo"/>
        <c:crossAx val="189719104"/>
        <c:crosses val="autoZero"/>
        <c:crossBetween val="midCat"/>
        <c:majorUnit val="1"/>
      </c:valAx>
    </c:plotArea>
    <c:legend>
      <c:legendPos val="r"/>
      <c:legendEntry>
        <c:idx val="1"/>
        <c:delete val="1"/>
      </c:legendEntry>
      <c:legendEntry>
        <c:idx val="2"/>
        <c:delete val="1"/>
      </c:legendEntry>
      <c:overlay val="0"/>
      <c:txPr>
        <a:bodyPr/>
        <a:lstStyle/>
        <a:p>
          <a:pPr>
            <a:defRPr sz="800"/>
          </a:pPr>
          <a:endParaRPr lang="it-IT"/>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2512</Words>
  <Characters>14325</Characters>
  <Application>Microsoft Office Word</Application>
  <DocSecurity>0</DocSecurity>
  <Lines>119</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Riccardo</dc:creator>
  <cp:lastModifiedBy>Riccardo</cp:lastModifiedBy>
  <cp:revision>2</cp:revision>
  <dcterms:created xsi:type="dcterms:W3CDTF">2012-06-19T17:11:00Z</dcterms:created>
  <dcterms:modified xsi:type="dcterms:W3CDTF">2012-06-19T17:11:00Z</dcterms:modified>
</cp:coreProperties>
</file>