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F76B6">
      <w:pPr>
        <w:pStyle w:val="Corpodeltesto"/>
        <w:jc w:val="center"/>
        <w:rPr>
          <w:b/>
          <w:bCs/>
          <w:szCs w:val="22"/>
        </w:rPr>
      </w:pPr>
      <w:r>
        <w:rPr>
          <w:b/>
          <w:bCs/>
          <w:szCs w:val="22"/>
        </w:rPr>
        <w:t>GLI OGM IN ALIMENTAZIONE ANIMALE E GARANZIE DI QUALITA’ E SICUREZZA ALIMENTARE PER L’UOMO DEI PRODOTTI DERIVATI: STATO DELL’ARTE.</w:t>
      </w:r>
    </w:p>
    <w:p w:rsidR="00000000" w:rsidRDefault="00EF76B6">
      <w:pPr>
        <w:pStyle w:val="Corpodeltesto"/>
        <w:rPr>
          <w:b/>
          <w:bCs/>
          <w:szCs w:val="22"/>
        </w:rPr>
      </w:pPr>
      <w:r>
        <w:rPr>
          <w:b/>
          <w:bCs/>
          <w:szCs w:val="22"/>
        </w:rPr>
        <w:t>Federica BELLAGAMBA, Franco VALFRE’, Vittorio M. MORETTI</w:t>
      </w:r>
    </w:p>
    <w:p w:rsidR="00000000" w:rsidRDefault="00EF76B6">
      <w:pPr>
        <w:pStyle w:val="Corpodeltesto"/>
        <w:rPr>
          <w:b/>
          <w:bCs/>
          <w:i/>
          <w:iCs/>
          <w:szCs w:val="22"/>
        </w:rPr>
      </w:pPr>
      <w:r>
        <w:rPr>
          <w:b/>
          <w:bCs/>
          <w:i/>
          <w:iCs/>
          <w:szCs w:val="22"/>
        </w:rPr>
        <w:t>(Dipartimento di Scienze e Tecnologie Veterinarie per la Sicurezza Al</w:t>
      </w:r>
      <w:r>
        <w:rPr>
          <w:b/>
          <w:bCs/>
          <w:i/>
          <w:iCs/>
          <w:szCs w:val="22"/>
        </w:rPr>
        <w:t>imentare della Università degli studi di Milano)</w:t>
      </w:r>
    </w:p>
    <w:p w:rsidR="00000000" w:rsidRDefault="00EF76B6">
      <w:pPr>
        <w:pStyle w:val="Corpodeltesto"/>
        <w:rPr>
          <w:b/>
          <w:bCs/>
          <w:i/>
          <w:iCs/>
          <w:szCs w:val="22"/>
        </w:rPr>
      </w:pPr>
    </w:p>
    <w:p w:rsidR="00000000" w:rsidRDefault="00EF76B6">
      <w:pPr>
        <w:pStyle w:val="Corpodeltesto"/>
      </w:pPr>
      <w:r>
        <w:rPr>
          <w:szCs w:val="22"/>
        </w:rPr>
        <w:t>L’introduzione sul mercato di alimenti geneticamente modificati (OGM) e di prodotti che ne contengano tra gli ingredienti, ha suscitato non poche polemiche che hanno portato, nei vari Paesi, ad adottare una</w:t>
      </w:r>
      <w:r>
        <w:rPr>
          <w:szCs w:val="22"/>
        </w:rPr>
        <w:t xml:space="preserve"> serie di misure precauzionali volte essenzialmente a tutelare il consumatore, garantendogli una più corretta informazione circa la presenza di OGM nell’alimento, sviluppando parallelamente sistemi e metodologie di controllo sul prodotto (Regulation EC No.</w:t>
      </w:r>
      <w:r>
        <w:rPr>
          <w:szCs w:val="22"/>
        </w:rPr>
        <w:t xml:space="preserve"> 1829/2003; Directive 2001/18/EEC; Regulation, EC No. 258/97).</w:t>
      </w:r>
    </w:p>
    <w:p w:rsidR="00000000" w:rsidRDefault="00EF76B6">
      <w:pPr>
        <w:pStyle w:val="Corpodeltesto"/>
      </w:pPr>
      <w:r>
        <w:t>La sicurezza degli organismi vegetali geneticamente modificati (OGM) è ancora oggi argomento ampiamente discusso, nonostante la coltivazione a scopo commerciale di queste nuove varianti sia sta</w:t>
      </w:r>
      <w:r>
        <w:t>ta introdotta già da una decina di anni, a partire quindi dalla metà degli anni ’90. A tuttoggi si stima che 45 milioni di ettari siano coltivati utilizzando queste nuove varianti genetiche (James, 2001), con prevalenza negli USA (72%), Argentina (17%) e C</w:t>
      </w:r>
      <w:r>
        <w:t>anada (10%). Le specie OGM prevalentemente coltivate sono la soia (54%) e il mais (28%); il cotone e la canola sono presenti con un valore percentuale intorno al 10%.</w:t>
      </w:r>
    </w:p>
    <w:p w:rsidR="00000000" w:rsidRDefault="00EF76B6">
      <w:pPr>
        <w:spacing w:line="480" w:lineRule="auto"/>
        <w:jc w:val="both"/>
      </w:pPr>
      <w:r>
        <w:t>L’impiego di OGM continua a dividere opinione pubblica e mondo scientifico non solo su qu</w:t>
      </w:r>
      <w:r>
        <w:t>estioni etiche, economiche e politiche, ma anche e oggi soprattutto, su questioni che riguardano la sicurezza alimentare di questi prodotti sia per l’uomo che li consuma direttamente, che per le specie zootecniche allevate, a cui vengono principalmente des</w:t>
      </w:r>
      <w:r>
        <w:t xml:space="preserve">tinati tali prodotti. Il dibattito etico sulla questione OGM verte sostanzialmente sul fatto che in definitiva i vantaggi di queste varianti genetiche ricadevano nelle mani delle multinazionali che brevettavano il ‘costrutto genico’ </w:t>
      </w:r>
      <w:r>
        <w:lastRenderedPageBreak/>
        <w:t>dell’OGM, nonché in que</w:t>
      </w:r>
      <w:r>
        <w:t>lle delle grosse aziende, spesso di proprietà delle stesse multinazionali, che decidevano di coltivare tali specie. Tutti questo comporta una serie di ripercussioni pericolose e sicuramente attese nell’ambiente per la distruzione della biodiversità, soprat</w:t>
      </w:r>
      <w:r>
        <w:t>tutto in alcune realtà agronomiche , nonché per l’introduzione ‘forzata’ di meccanismi di resistenza che potrebbero avere un effetto boomerang sui naturali equilibri non solo degli organismi superiori, ma anche di quelli procarioti.</w:t>
      </w:r>
    </w:p>
    <w:p w:rsidR="00000000" w:rsidRDefault="00EF76B6">
      <w:pPr>
        <w:pStyle w:val="Corpodeltesto"/>
      </w:pPr>
      <w:r>
        <w:t>Tutte queste valutazion</w:t>
      </w:r>
      <w:r>
        <w:t>i hanno portato a sviluppare nuove strategie, che potessero avere un impatto meno drammatico soprattutto sull’opinione pubblica. Quindi se i primi OGM vegetali riguardavano solo varietà più resistenti agli erbicidi (soia resistente al glifosate), agli atta</w:t>
      </w:r>
      <w:r>
        <w:t>cchi degli insetti (mais resistente alla piralide), oggi le nuove tecnologie e la sperimentazione (Kleter &amp; Kuiper, 2002) si è orientata verso la ‘costruzione’ di nuovi organismi nell’intento di migliorare le proprietà nutrizionali del prodotto naturale, u</w:t>
      </w:r>
      <w:r>
        <w:t>n esempio noto è il ‘golden rice’, modificato per produrre provitamina A. Anche l’attività antiossidante di alcune molecole naturalmente presenti in alcuni vegetali (isoflavoni, flavonoidi, isotiocianati) ha stimolato lo studio di varietà nuove che concent</w:t>
      </w:r>
      <w:r>
        <w:t>rassero la presenza di tali sostanze.</w:t>
      </w:r>
    </w:p>
    <w:p w:rsidR="00000000" w:rsidRDefault="00EF76B6">
      <w:pPr>
        <w:spacing w:line="480" w:lineRule="auto"/>
        <w:jc w:val="both"/>
      </w:pPr>
      <w:r>
        <w:t xml:space="preserve">L’altra grande questione abbiamo detto riguardare la sicurezza alimentare: come possiamo valutare la sicurezza di questi alimenti nel </w:t>
      </w:r>
      <w:r>
        <w:rPr>
          <w:i/>
          <w:iCs/>
        </w:rPr>
        <w:t>food</w:t>
      </w:r>
      <w:r>
        <w:t xml:space="preserve">, quindi nel consumo diretto per l’uomo, e nel </w:t>
      </w:r>
      <w:r>
        <w:rPr>
          <w:i/>
          <w:iCs/>
        </w:rPr>
        <w:t>feed</w:t>
      </w:r>
      <w:r>
        <w:t>, inteso come consumo per l’a</w:t>
      </w:r>
      <w:r>
        <w:t>nimale e indirettamente per l’uomo nel prodotto derivato?</w:t>
      </w:r>
    </w:p>
    <w:p w:rsidR="00000000" w:rsidRDefault="00EF76B6">
      <w:pPr>
        <w:spacing w:line="480" w:lineRule="auto"/>
        <w:jc w:val="both"/>
      </w:pPr>
      <w:r>
        <w:t xml:space="preserve">Il primo approccio a questo tipo di valutazione si è risolto nel concetto di </w:t>
      </w:r>
      <w:r>
        <w:rPr>
          <w:i/>
          <w:iCs/>
        </w:rPr>
        <w:t>‘substantial equivalence’</w:t>
      </w:r>
      <w:r>
        <w:t>, che ha portato a tutta una serie di studi di comparazione di tipo agronomico, chimico, biochim</w:t>
      </w:r>
      <w:r>
        <w:t xml:space="preserve">ico e nutrizionale tra l’organismo modificato e quello tradizionale equivalente presente in natura. L’applicazione del concetto di </w:t>
      </w:r>
      <w:r>
        <w:rPr>
          <w:i/>
          <w:iCs/>
        </w:rPr>
        <w:t>‘substantial equivalent’</w:t>
      </w:r>
      <w:r>
        <w:t xml:space="preserve"> viene però definito lo </w:t>
      </w:r>
      <w:r>
        <w:rPr>
          <w:i/>
          <w:iCs/>
        </w:rPr>
        <w:t>‘starting point’</w:t>
      </w:r>
      <w:r>
        <w:t xml:space="preserve"> per stabilire la sicurezza di un OGM in quanto rappresenta l</w:t>
      </w:r>
      <w:r>
        <w:t>’</w:t>
      </w:r>
      <w:r>
        <w:rPr>
          <w:i/>
          <w:iCs/>
        </w:rPr>
        <w:t xml:space="preserve">iter </w:t>
      </w:r>
      <w:r>
        <w:t xml:space="preserve">per l’identificazione di potenziali differenze tra organismo modificato e quello naturale equivalente; esso quindi non rappresenta di per sè garanzia di sicurezza del nuovo prodotto. Infatti nella UE questa classe di prodotti vegetali </w:t>
      </w:r>
      <w:r>
        <w:rPr>
          <w:i/>
          <w:iCs/>
        </w:rPr>
        <w:t>sostanzialmente</w:t>
      </w:r>
      <w:r>
        <w:rPr>
          <w:i/>
          <w:iCs/>
        </w:rPr>
        <w:t xml:space="preserve"> equivalenti all’alimento tradizionale con il quale sono analiticamente comparati </w:t>
      </w:r>
      <w:r>
        <w:rPr>
          <w:b/>
          <w:bCs/>
        </w:rPr>
        <w:t xml:space="preserve">si </w:t>
      </w:r>
      <w:r>
        <w:rPr>
          <w:b/>
          <w:bCs/>
        </w:rPr>
        <w:lastRenderedPageBreak/>
        <w:t xml:space="preserve">riferisce per ora solo agli alimenti che non recano tracce di DNA e proteine (ad esempio: oli, autolisati, ecc.) </w:t>
      </w:r>
      <w:r>
        <w:t xml:space="preserve">Ma sempre a livello comunitario e nella valutazione della </w:t>
      </w:r>
      <w:r>
        <w:t>sicurezza degli OGM basata sul raffronto tra tradizionale ed OGM stesso non in toto  ma solo sulle differenze eventualmente riscontrate, esistono altre due classi di prodotti valutati:</w:t>
      </w:r>
    </w:p>
    <w:p w:rsidR="00000000" w:rsidRDefault="00EF76B6">
      <w:pPr>
        <w:spacing w:line="480" w:lineRule="auto"/>
        <w:jc w:val="both"/>
      </w:pPr>
      <w:r>
        <w:rPr>
          <w:b/>
          <w:bCs/>
        </w:rPr>
        <w:t xml:space="preserve">b. sufficientemente simili al tradizionale: </w:t>
      </w:r>
      <w:r>
        <w:t>quando un elemento – ad ese</w:t>
      </w:r>
      <w:r>
        <w:t>mpio una proteina espressa dal gene inserito – sicuramente identificabile sia discordante rispetto al tradizionale;</w:t>
      </w:r>
    </w:p>
    <w:p w:rsidR="00000000" w:rsidRDefault="00EF76B6">
      <w:pPr>
        <w:spacing w:line="480" w:lineRule="auto"/>
        <w:jc w:val="both"/>
      </w:pPr>
      <w:r>
        <w:rPr>
          <w:b/>
          <w:bCs/>
        </w:rPr>
        <w:t xml:space="preserve">c. non sufficientemente simile al tradizionale: </w:t>
      </w:r>
      <w:r>
        <w:t>allorché gli elementi sostanziali di differenziazione siano più di uno o le modificazioni in</w:t>
      </w:r>
      <w:r>
        <w:t>dotte siano molto marcate.</w:t>
      </w:r>
    </w:p>
    <w:p w:rsidR="00000000" w:rsidRDefault="00EF76B6">
      <w:pPr>
        <w:spacing w:line="480" w:lineRule="auto"/>
        <w:jc w:val="both"/>
      </w:pPr>
      <w:r>
        <w:t xml:space="preserve"> La questione quindi rimane aperta, ma soprattutto la questione ancora aperta e decisamente più complessa riguarda lo stabilire le conseguenze che a livello molecolare, la manipolazione genetica per l’introduzione di un nuovo ‘co</w:t>
      </w:r>
      <w:r>
        <w:t>nstrutto genico’, può determinare non solo nell’organismo che viene direttamente modificato, ma anche nell’organismo che introduce, che viene a contatto quindi per via orizzontale con questo ‘nuovo’ DNA.</w:t>
      </w:r>
    </w:p>
    <w:p w:rsidR="00000000" w:rsidRDefault="00EF76B6">
      <w:pPr>
        <w:pStyle w:val="Titolo1"/>
      </w:pPr>
      <w:r>
        <w:t>Interazione genica</w:t>
      </w:r>
    </w:p>
    <w:p w:rsidR="00000000" w:rsidRDefault="00EF76B6">
      <w:pPr>
        <w:spacing w:line="480" w:lineRule="auto"/>
        <w:jc w:val="both"/>
      </w:pPr>
      <w:r>
        <w:t xml:space="preserve">Le conoscenze scientifiche della </w:t>
      </w:r>
      <w:r>
        <w:t>biologia molecolare hanno infatti fatto comprendere che l’espressione genica, che conduce alla sintesi di una certa proteina è un meccanismo molto complesso, che prevede l’interazione di più geni nel controllo della sua sintesi; l’introduzione di DNA esoge</w:t>
      </w:r>
      <w:r>
        <w:t>no per costruire un OGM, comporta quindi anche l’introduzione di sequenze di DNA per la regolazione della trascrizione della nuova proteina e sono proprio queste sequenze quelle più imputabili di alterazione della normale espressione genica di un organismo</w:t>
      </w:r>
      <w:r>
        <w:t xml:space="preserve"> complesso. Per esempio oggi ci si chiede se il nuovo ‘costrutto genico’, introdotto in un organismo vegetale, sia anche in grado di alterare l’espressione di micronutrienti o macronutrienti, così come di tossine o altri fattori antinutrizionali (Kuiper et</w:t>
      </w:r>
      <w:r>
        <w:t xml:space="preserve"> al., 2002). </w:t>
      </w:r>
    </w:p>
    <w:p w:rsidR="00000000" w:rsidRDefault="00EF76B6">
      <w:pPr>
        <w:pStyle w:val="Titolo1"/>
      </w:pPr>
      <w:r>
        <w:t>Allergenicità</w:t>
      </w:r>
    </w:p>
    <w:p w:rsidR="00000000" w:rsidRDefault="00EF76B6">
      <w:pPr>
        <w:spacing w:line="480" w:lineRule="auto"/>
        <w:jc w:val="both"/>
      </w:pPr>
      <w:r>
        <w:t xml:space="preserve">Le potenzialità allergeniche del cosiddetto Novel Food, suscitano grande timore e grande attenzione nella valutazione della sicurezza di un organismo geneticamente modificato. Tale timore è oggi </w:t>
      </w:r>
      <w:r>
        <w:lastRenderedPageBreak/>
        <w:t>purtroppo supportato dal dato inc</w:t>
      </w:r>
      <w:r>
        <w:t>ontrovertibile che le allergie alimentari sono in serio aumento, con sintomatologie sempre più severe e complesse (Wal, 1998). La strategia adottata (FAO/WHO, 2001) per la valutazione delle potenzialità allergeniche delle proteine introdotte in un OGM, è s</w:t>
      </w:r>
      <w:r>
        <w:t xml:space="preserve">tata recentemente riorganizzata proprio allo scopo di compiere valutazioni sempre più accurate che tengano in considerazione lo studio della ‘nuova’ proteina nella sua struttura molecolare (sequenza in aminoacidi) mettendola in realzione a quella di altri </w:t>
      </w:r>
      <w:r>
        <w:t xml:space="preserve">allergeni presenti in natura, delle sue proprietà allergeniche sia </w:t>
      </w:r>
      <w:r>
        <w:rPr>
          <w:i/>
          <w:iCs/>
        </w:rPr>
        <w:t>in vivo</w:t>
      </w:r>
      <w:r>
        <w:t xml:space="preserve"> che </w:t>
      </w:r>
      <w:r>
        <w:rPr>
          <w:i/>
          <w:iCs/>
        </w:rPr>
        <w:t>in vitro</w:t>
      </w:r>
      <w:r>
        <w:t>, ma anche dei possibili cambiamenti che l’espressione di questa proteina potrebbe determinare su altri allergeni presenti naturalmente nell’organismo definito ‘recipien</w:t>
      </w:r>
      <w:r>
        <w:t>te’ della nuova proteina (Kleter &amp; Kuiper, 2002).</w:t>
      </w:r>
    </w:p>
    <w:p w:rsidR="00000000" w:rsidRDefault="00EF76B6">
      <w:pPr>
        <w:spacing w:line="480" w:lineRule="auto"/>
        <w:jc w:val="both"/>
        <w:rPr>
          <w:i/>
          <w:iCs/>
        </w:rPr>
      </w:pPr>
      <w:r>
        <w:rPr>
          <w:i/>
          <w:iCs/>
        </w:rPr>
        <w:t>Trasferimento orizzontale di materiale genetico (Gene transfer)</w:t>
      </w:r>
    </w:p>
    <w:p w:rsidR="00000000" w:rsidRDefault="00EF76B6">
      <w:pPr>
        <w:spacing w:line="480" w:lineRule="auto"/>
        <w:jc w:val="both"/>
      </w:pPr>
      <w:r>
        <w:t>Tra le questioni più controverse e dibattute riguardanti i rischi potenziali legati al consumo di OGM, troviamo, senza dubbio, quella che disc</w:t>
      </w:r>
      <w:r>
        <w:t>ute l’ipotesi di un possibile trasferimento orizzontale del DNA transgenico dopo che questo viene rilasciato nell’ambiente e si lega ai minerali del suolo o ai polisaccaridi delle piante (Gallori et al., 1994; Steward &amp; Carlson, 1986), o addirittura dopo l</w:t>
      </w:r>
      <w:r>
        <w:t>a sua introduzione diretta nell’uomo o nell’animale con l’alimento. Benché non siano disponibili, a tuttoggi, evidenze scientifiche certe che inducano ad avvalorare tele ipotesi, bisogna altresì ricordare che prove sperimentali, recentemente discusse in le</w:t>
      </w:r>
      <w:r>
        <w:t>tteratura, hanno dimostrato che è possibile rintracciare DNA di origine vegetale in tessuti di animali, facendo quindi supporre un meccanismo orizzontale di integrazione di DNA esogeno.</w:t>
      </w:r>
    </w:p>
    <w:p w:rsidR="00000000" w:rsidRDefault="00EF76B6">
      <w:pPr>
        <w:pStyle w:val="Corpodeltesto"/>
      </w:pPr>
      <w:r>
        <w:t>Secondo quanto riportato in letteratura (Doerfler, 2000; Hohlweg &amp; Doe</w:t>
      </w:r>
      <w:r>
        <w:t>rfler, 2001) sono frequenti le situazioni in cui DNA estraneo (trasformazione con virus oncogenici, generazione di organismi transgenici) entra in contatto e va ad integrarsi al materiale genetico di cellule animali. Se questi eventi rappresentano situazio</w:t>
      </w:r>
      <w:r>
        <w:t>ni particolari, legate essenzialmente alle metodologie sperimentali utilizzate nella biologia molecolare, esiste però anche una via, più naturale e frequente, di contatto con DNA transgenico, a cui gli organismi superiori vengono esposti, rappresentata dal</w:t>
      </w:r>
      <w:r>
        <w:t xml:space="preserve"> tratto gastro-intestinale e mediata dall’alimento (Schubbert et al., 1994, 1997, 1998). Sebbene le occasioni di </w:t>
      </w:r>
      <w:r>
        <w:lastRenderedPageBreak/>
        <w:t>contatto con un organismo che ha ricevuto l’inserzione artificiale di un gene, se non addirittura di un insieme di geni, non possano essere ogg</w:t>
      </w:r>
      <w:r>
        <w:t>i scongiurate ed appaiano sempre più difficilmente controllabili, non sono ancora molti i dati e le ricerche scientifiche volte a verificare quale sia il destino del DNA estraneo ingerito con l’alimento, la sua stabilità e persistenza nel tratto gastro-int</w:t>
      </w:r>
      <w:r>
        <w:t>estinale.</w:t>
      </w:r>
    </w:p>
    <w:p w:rsidR="00000000" w:rsidRDefault="00EF76B6">
      <w:pPr>
        <w:spacing w:line="480" w:lineRule="auto"/>
        <w:jc w:val="both"/>
      </w:pPr>
      <w:r>
        <w:t>Bisogna comunque ricordare che gli organismi procarioti hanno sviluppato processi per l’acquisizione e il riarrangiamento di materale genetico con cui entrano in contatto, che ha come conseguenza una integrazione di nuove sequenze nucleotidiche n</w:t>
      </w:r>
      <w:r>
        <w:t>el DNA batterico. La resistenza ad alcuni antibiotici sviluppata da molti batteri ha seguito questo meccanismo. La manipolazione genetica per la costruzione di un OGM prevedeva l’introduzione, nel construtto transgenico, di un gene per l’antibiotico resist</w:t>
      </w:r>
      <w:r>
        <w:t>enza (generalmente alla kanamicina e alla neomicina), con la funzione di marcatore nella prima fase di trasformazione e selezione dell’organismo che si voleva modificare. Sebbene diverse prove scientifiche abbiano scongiurato la responsabilità degli OGM su</w:t>
      </w:r>
      <w:r>
        <w:t xml:space="preserve">l trasferimento dell’antibiotico resistenza, sostenendo anche che la kanamicina e neomicina, per la loro tossicità non venivano più impiegati nelle terapie antibatteriche sull’uomo, disposizioni legislative recenti vietano ufficialmente l’impiego dei geni </w:t>
      </w:r>
      <w:r>
        <w:t>per l’antibiotico resistenza a partire dal 2005 e già multinazionali come la Novartis Seed hanno dichiarato di aver sostituito questi marcatori con altri sistemi, che hanno ovviamente brevettato (Gasson, 2000).</w:t>
      </w:r>
    </w:p>
    <w:p w:rsidR="00000000" w:rsidRDefault="00EF76B6">
      <w:pPr>
        <w:spacing w:line="480" w:lineRule="auto"/>
        <w:jc w:val="both"/>
        <w:rPr>
          <w:szCs w:val="22"/>
        </w:rPr>
      </w:pPr>
      <w:r>
        <w:t xml:space="preserve">L’assorbimento di DNA di origine alimentare, </w:t>
      </w:r>
      <w:r>
        <w:t>nell’uomo, varia da 0.1 a 1 grammo al giorno (Doerfler, 2000), ed include frammenti di geni diversi che derivano da DNA vegetale, animale e batterico. Nella maggioranza dei casi il DNA estraneo, che vogliamo definire esogeno, sembra essere inattivato e deg</w:t>
      </w:r>
      <w:r>
        <w:t>radato già dalle nucleasi della saliva, quindi dal basso valore del pH dello stomaco e ancora da altre endonucleasi dell’intestino tenue (Duggan et al., 2000). Tuttavia vi sono evidenze scientifiche che confermano il passaggio di frammenti di DNA attravers</w:t>
      </w:r>
      <w:r>
        <w:t xml:space="preserve">o la barriera intestinale, imputabile anche all’interazione tra il materiale genetico ed alcune proteine o sostanze minerali che eserciterebbero una funzione protettiva nei confronti dei meccanismi di degradazione </w:t>
      </w:r>
      <w:r>
        <w:lastRenderedPageBreak/>
        <w:t>sopra descritti.</w:t>
      </w:r>
      <w:r>
        <w:rPr>
          <w:szCs w:val="22"/>
        </w:rPr>
        <w:t xml:space="preserve"> Prove sperimentali condot</w:t>
      </w:r>
      <w:r>
        <w:rPr>
          <w:szCs w:val="22"/>
        </w:rPr>
        <w:t>te in animali di laboratorio (Schubbert et a., 1994) hanno dimostrato che frammenti di DNA estraneo (DNA di batteriofago M13) somministrato con l’alimento si ritrovano nel nucleo delle cellule dell’intestino tenue (cellule epiteliali, cellule della sottomu</w:t>
      </w:r>
      <w:r>
        <w:rPr>
          <w:szCs w:val="22"/>
        </w:rPr>
        <w:t>cosa, placche del Peyer). Sempre tali frammenti sarebbero in grado di superare non solo la barriera gastrica, ma anche quella intestinale, ritrovandosi nei leucociti, nelle cellule della milza e del fegato (Schubbert et al., 1997; Doerfler et al., 1997). I</w:t>
      </w:r>
      <w:r>
        <w:rPr>
          <w:szCs w:val="22"/>
        </w:rPr>
        <w:t xml:space="preserve">noltre il ritrovamento di frammenti di DNA esogeno è stato verificato anche nelle cellule di feti di topine alle cui madri era stato somministrato, sempre con l’alimento, DNA di batteriofago M13, facendo supporre un trasferimento per via trans-placentare, </w:t>
      </w:r>
      <w:r>
        <w:rPr>
          <w:szCs w:val="22"/>
        </w:rPr>
        <w:t xml:space="preserve">ma non lungo la linea germinale (Schubbert et al., 1998). In alcuni casi il DNA estraneo veniva ad integrarsi con il genoma dell’animale, a volte portando con se sequenze di </w:t>
      </w:r>
      <w:r>
        <w:rPr>
          <w:i/>
          <w:szCs w:val="22"/>
        </w:rPr>
        <w:t>E.coli</w:t>
      </w:r>
      <w:r>
        <w:rPr>
          <w:szCs w:val="22"/>
        </w:rPr>
        <w:t>, suggerendo che l’integrazione avvenisse prima nel genoma del batterio, pre</w:t>
      </w:r>
      <w:r>
        <w:rPr>
          <w:szCs w:val="22"/>
        </w:rPr>
        <w:t>sente nella microflora intestinale, e successivamente in quello dell’animale (Doerfler et al., 1997; Schubbert et al., 1997).</w:t>
      </w:r>
    </w:p>
    <w:p w:rsidR="00000000" w:rsidRDefault="00EF76B6">
      <w:pPr>
        <w:pStyle w:val="Corpodeltesto"/>
        <w:rPr>
          <w:szCs w:val="22"/>
        </w:rPr>
      </w:pPr>
      <w:r>
        <w:rPr>
          <w:szCs w:val="22"/>
        </w:rPr>
        <w:t xml:space="preserve">Le osservazioni riportate suggeriscono una via di approccio metodologico riguardo la possibilità di identificare nelle cellule di </w:t>
      </w:r>
      <w:r>
        <w:rPr>
          <w:szCs w:val="22"/>
        </w:rPr>
        <w:t>alcuni organi di animali alimentati con OGM la presenza di materiale genetico esogeno, proveniente verosimilmente da questi ultimi.</w:t>
      </w:r>
    </w:p>
    <w:p w:rsidR="00000000" w:rsidRDefault="00EF76B6">
      <w:pPr>
        <w:pStyle w:val="Corpodeltesto3"/>
        <w:spacing w:line="480" w:lineRule="auto"/>
        <w:rPr>
          <w:rFonts w:ascii="Times New Roman" w:hAnsi="Times New Roman" w:cs="Times New Roman"/>
          <w:sz w:val="24"/>
        </w:rPr>
      </w:pPr>
      <w:r>
        <w:rPr>
          <w:rFonts w:ascii="Times New Roman" w:hAnsi="Times New Roman" w:cs="Times New Roman"/>
          <w:sz w:val="24"/>
        </w:rPr>
        <w:t>Risultati sperimentali recentemente pubblicati, condotti per stabilire il livello di degradazione di due geni eterologhi pre</w:t>
      </w:r>
      <w:r>
        <w:rPr>
          <w:rFonts w:ascii="Times New Roman" w:hAnsi="Times New Roman" w:cs="Times New Roman"/>
          <w:sz w:val="24"/>
        </w:rPr>
        <w:t>senti in varietà di soia e di mais, hanno confermato il passaggio di una quota del DNA transgenico attraverso l’intestino rendendosi così disponibile ad essere incorporato dalle cellule della microflora intestinale o dalle stesse cellule epiteliali dell’in</w:t>
      </w:r>
      <w:r>
        <w:rPr>
          <w:rFonts w:ascii="Times New Roman" w:hAnsi="Times New Roman" w:cs="Times New Roman"/>
          <w:sz w:val="24"/>
        </w:rPr>
        <w:t xml:space="preserve">testino tenue (Martín-Orúe et al., 2002). </w:t>
      </w:r>
    </w:p>
    <w:p w:rsidR="00000000" w:rsidRDefault="00EF76B6">
      <w:pPr>
        <w:pStyle w:val="Corpodeltesto3"/>
        <w:widowControl/>
        <w:autoSpaceDE/>
        <w:spacing w:line="480" w:lineRule="auto"/>
        <w:rPr>
          <w:rFonts w:ascii="Times New Roman" w:hAnsi="Times New Roman" w:cs="Times New Roman"/>
          <w:sz w:val="24"/>
        </w:rPr>
      </w:pPr>
      <w:r>
        <w:rPr>
          <w:rFonts w:ascii="Times New Roman" w:hAnsi="Times New Roman" w:cs="Times New Roman"/>
          <w:sz w:val="24"/>
        </w:rPr>
        <w:t>Alla luce delle evidenze scientifiche riscontrate in letteratura e precedentemente esposte circa la possibilità che DNA estraneo introdotto con l’alimento possa, in un organismo superiore, by-passare la barriera g</w:t>
      </w:r>
      <w:r>
        <w:rPr>
          <w:rFonts w:ascii="Times New Roman" w:hAnsi="Times New Roman" w:cs="Times New Roman"/>
          <w:sz w:val="24"/>
        </w:rPr>
        <w:t xml:space="preserve">astro-intestinale, per andare addirittura ad integrarsi a cellule del sistema immunitario (Schubbert et al., 1994; 1997), diventa legittimo chiedersi quale sia il destino del DNA modificato delle varietà transgeniche, per esempio, in un animale alimentato </w:t>
      </w:r>
      <w:r>
        <w:rPr>
          <w:rFonts w:ascii="Times New Roman" w:hAnsi="Times New Roman" w:cs="Times New Roman"/>
          <w:sz w:val="24"/>
        </w:rPr>
        <w:t xml:space="preserve">con OGM, così come </w:t>
      </w:r>
      <w:r>
        <w:rPr>
          <w:rFonts w:ascii="Times New Roman" w:hAnsi="Times New Roman" w:cs="Times New Roman"/>
          <w:sz w:val="24"/>
        </w:rPr>
        <w:lastRenderedPageBreak/>
        <w:t>quale possa essere l’approccio metodologico per la sua rintracciabilità anche negli alimenti d’origine animale. Sono già state descritte le evidenze scientifiche a sostegno di un possibile trasferimento di frammenti leggeri di DNA estran</w:t>
      </w:r>
      <w:r>
        <w:rPr>
          <w:rFonts w:ascii="Times New Roman" w:hAnsi="Times New Roman" w:cs="Times New Roman"/>
          <w:sz w:val="24"/>
        </w:rPr>
        <w:t>eo, attraverso l’alimento, nelle cellule e tessuti dei vertebrati. Ricerche recenti (Klotz &amp; Einspanier, 1998; Einspanier et al., 2001; Klotz et al., 2002) descrivono un approccio metodologico per il riconoscimento, mediante PCR, di frammenti di DNA appart</w:t>
      </w:r>
      <w:r>
        <w:rPr>
          <w:rFonts w:ascii="Times New Roman" w:hAnsi="Times New Roman" w:cs="Times New Roman"/>
          <w:sz w:val="24"/>
        </w:rPr>
        <w:t xml:space="preserve">enenti a sequenze geniche di vegetali modificati, in campioni di sangue e in tessuti (fegato, rene, milza, intestino, muscolo) prelevati da specie zootecniche (pollo, suino, bovino) alimentate con prodotti transgenici. </w:t>
      </w:r>
    </w:p>
    <w:p w:rsidR="00000000" w:rsidRDefault="00EF76B6">
      <w:pPr>
        <w:pStyle w:val="Corpodeltesto"/>
        <w:rPr>
          <w:szCs w:val="22"/>
        </w:rPr>
      </w:pPr>
      <w:r>
        <w:rPr>
          <w:szCs w:val="22"/>
        </w:rPr>
        <w:t xml:space="preserve">Il problema legato alla presenza di </w:t>
      </w:r>
      <w:r>
        <w:rPr>
          <w:szCs w:val="22"/>
        </w:rPr>
        <w:t>OGM riguarda perciò non solo quegli alimenti che arrivano ‘manipolati’ sulle nostre tavole, bensì anche quegli alimenti di origine animale, che possono derivare da animali che sono stati alimentati con materie prime modificate, per i quali la legge non pre</w:t>
      </w:r>
      <w:r>
        <w:rPr>
          <w:szCs w:val="22"/>
        </w:rPr>
        <w:t>vede una dichiarazione in etichetta.</w:t>
      </w:r>
    </w:p>
    <w:p w:rsidR="00000000" w:rsidRDefault="00EF76B6">
      <w:pPr>
        <w:spacing w:line="480" w:lineRule="auto"/>
        <w:jc w:val="both"/>
        <w:rPr>
          <w:szCs w:val="22"/>
        </w:rPr>
      </w:pPr>
      <w:r>
        <w:rPr>
          <w:szCs w:val="22"/>
        </w:rPr>
        <w:t xml:space="preserve">Nel corso degli ultimi anni sono state messe a punto numerose metodiche analitiche sia qualitative che quantitative, alcune delle quali divenute ufficiali per alcuni Paesi e per prodotti specifici, in grado di indagare </w:t>
      </w:r>
      <w:r>
        <w:rPr>
          <w:szCs w:val="22"/>
        </w:rPr>
        <w:t>la presenza di DNA transgenico nell’alimento (Anklam et al., 2002). I metodi d’indagine per identificare gli OGM, si sviluppano sostanzialmente su due fronti:</w:t>
      </w:r>
    </w:p>
    <w:p w:rsidR="00000000" w:rsidRDefault="00EF76B6">
      <w:pPr>
        <w:numPr>
          <w:ilvl w:val="0"/>
          <w:numId w:val="1"/>
        </w:numPr>
        <w:spacing w:line="480" w:lineRule="auto"/>
        <w:jc w:val="both"/>
        <w:rPr>
          <w:szCs w:val="22"/>
        </w:rPr>
      </w:pPr>
      <w:r>
        <w:rPr>
          <w:szCs w:val="22"/>
        </w:rPr>
        <w:t>indagine diretta sul DNA per identificare l’intervento di manipolazione (PCR);</w:t>
      </w:r>
    </w:p>
    <w:p w:rsidR="00000000" w:rsidRDefault="00EF76B6">
      <w:pPr>
        <w:numPr>
          <w:ilvl w:val="0"/>
          <w:numId w:val="1"/>
        </w:numPr>
        <w:spacing w:line="480" w:lineRule="auto"/>
        <w:jc w:val="both"/>
        <w:rPr>
          <w:szCs w:val="22"/>
        </w:rPr>
      </w:pPr>
      <w:r>
        <w:rPr>
          <w:szCs w:val="22"/>
        </w:rPr>
        <w:t>indagine sul prodo</w:t>
      </w:r>
      <w:r>
        <w:rPr>
          <w:szCs w:val="22"/>
        </w:rPr>
        <w:t>tto (proteina) che viene codificato dal gene modificato (ELISA).</w:t>
      </w:r>
    </w:p>
    <w:p w:rsidR="00000000" w:rsidRDefault="00EF76B6">
      <w:pPr>
        <w:spacing w:line="480" w:lineRule="auto"/>
        <w:jc w:val="both"/>
        <w:rPr>
          <w:szCs w:val="22"/>
        </w:rPr>
      </w:pPr>
      <w:r>
        <w:rPr>
          <w:szCs w:val="22"/>
        </w:rPr>
        <w:t>I limiti legati a queste metodiche non sono pochi per il fatto che la loro applicazione è condizionata da:</w:t>
      </w:r>
    </w:p>
    <w:p w:rsidR="00000000" w:rsidRDefault="00EF76B6">
      <w:pPr>
        <w:numPr>
          <w:ilvl w:val="0"/>
          <w:numId w:val="1"/>
        </w:numPr>
        <w:spacing w:line="480" w:lineRule="auto"/>
        <w:jc w:val="both"/>
        <w:rPr>
          <w:szCs w:val="22"/>
        </w:rPr>
      </w:pPr>
      <w:r>
        <w:rPr>
          <w:szCs w:val="22"/>
        </w:rPr>
        <w:t>presenza di DNA che possa essere estratto dalla matrice;</w:t>
      </w:r>
    </w:p>
    <w:p w:rsidR="00000000" w:rsidRDefault="00EF76B6">
      <w:pPr>
        <w:numPr>
          <w:ilvl w:val="0"/>
          <w:numId w:val="1"/>
        </w:numPr>
        <w:spacing w:line="480" w:lineRule="auto"/>
        <w:jc w:val="both"/>
        <w:rPr>
          <w:szCs w:val="22"/>
        </w:rPr>
      </w:pPr>
      <w:r>
        <w:rPr>
          <w:szCs w:val="22"/>
        </w:rPr>
        <w:t>dichiarazione da parte dell</w:t>
      </w:r>
      <w:r>
        <w:rPr>
          <w:szCs w:val="22"/>
        </w:rPr>
        <w:t>a ditta produttrice del gene modificato o dei geni che funzionano da elementi di controllo (geni promotori o terminatori) o da marcatori;</w:t>
      </w:r>
    </w:p>
    <w:p w:rsidR="00000000" w:rsidRDefault="00EF76B6">
      <w:pPr>
        <w:numPr>
          <w:ilvl w:val="0"/>
          <w:numId w:val="1"/>
        </w:numPr>
        <w:spacing w:line="480" w:lineRule="auto"/>
        <w:jc w:val="both"/>
        <w:rPr>
          <w:szCs w:val="22"/>
        </w:rPr>
      </w:pPr>
      <w:r>
        <w:rPr>
          <w:szCs w:val="22"/>
        </w:rPr>
        <w:t>presenza di una nuova proteina codificata dal gene esogeno.</w:t>
      </w:r>
    </w:p>
    <w:p w:rsidR="00000000" w:rsidRDefault="00EF76B6">
      <w:pPr>
        <w:spacing w:line="480" w:lineRule="auto"/>
        <w:jc w:val="both"/>
        <w:rPr>
          <w:szCs w:val="22"/>
        </w:rPr>
      </w:pPr>
      <w:r>
        <w:rPr>
          <w:szCs w:val="22"/>
        </w:rPr>
        <w:t>Ma cosa possiamo dire riguardo i prodotti derivati da anim</w:t>
      </w:r>
      <w:r>
        <w:rPr>
          <w:szCs w:val="22"/>
        </w:rPr>
        <w:t>ali alimentati con OGM?</w:t>
      </w:r>
    </w:p>
    <w:p w:rsidR="00000000" w:rsidRDefault="00EF76B6">
      <w:pPr>
        <w:spacing w:line="480" w:lineRule="auto"/>
        <w:jc w:val="both"/>
        <w:rPr>
          <w:szCs w:val="22"/>
          <w:u w:val="single"/>
        </w:rPr>
      </w:pPr>
      <w:r>
        <w:rPr>
          <w:szCs w:val="22"/>
        </w:rPr>
        <w:lastRenderedPageBreak/>
        <w:t>A questo proposito forse è bene ricordare che il mais e la soia, che costituiscono la base foraggiera nell’allevamento di diverse specie d’interesse zootecnico, rappresentano i vegetali geneticamente modificati più diffusi nel mondo</w:t>
      </w:r>
      <w:r>
        <w:rPr>
          <w:szCs w:val="22"/>
        </w:rPr>
        <w:t xml:space="preserve"> e approvati dalla legge dei vari Paesi (Regulation 1139/98/EEC). Vi è quindi un altro importante capitolo legato al cosiddetto Novel Food e riguarda la nutrizione animale e gli OGM. Sostanzialmente nell’ambito di questa tematica sono due le domande che in</w:t>
      </w:r>
      <w:r>
        <w:rPr>
          <w:szCs w:val="22"/>
        </w:rPr>
        <w:t xml:space="preserve">teressano: la prima riguarda l’aspetto più zootecnico-nutrizionistico, cioè quali sono gli effetti nutrizionali legati al consumo di OGM rispetto all’alimento “naturale”; la seconda, invece, riguarda </w:t>
      </w:r>
      <w:r>
        <w:rPr>
          <w:szCs w:val="22"/>
          <w:u w:val="single"/>
        </w:rPr>
        <w:t xml:space="preserve">come sia possibile controllare nell’animale il percorso </w:t>
      </w:r>
      <w:r>
        <w:rPr>
          <w:szCs w:val="22"/>
          <w:u w:val="single"/>
        </w:rPr>
        <w:t>che il DNA transgenico segue una volta ingerito con l’alimento.</w:t>
      </w:r>
    </w:p>
    <w:p w:rsidR="00000000" w:rsidRDefault="00EF76B6">
      <w:pPr>
        <w:pStyle w:val="Corpodeltesto3"/>
        <w:widowControl/>
        <w:autoSpaceDE/>
        <w:spacing w:line="480" w:lineRule="auto"/>
        <w:rPr>
          <w:rFonts w:ascii="Times New Roman" w:hAnsi="Times New Roman" w:cs="Times New Roman"/>
          <w:sz w:val="24"/>
        </w:rPr>
      </w:pPr>
      <w:r>
        <w:rPr>
          <w:rFonts w:ascii="Times New Roman" w:hAnsi="Times New Roman" w:cs="Times New Roman"/>
          <w:sz w:val="24"/>
        </w:rPr>
        <w:t>Per quanto riguarda la prima questione sono già state eseguite numerose prove sperimentali, nelle principali specie d’interesse zootecnico, che sostengono sostanzialmente l’assenza di differen</w:t>
      </w:r>
      <w:r>
        <w:rPr>
          <w:rFonts w:ascii="Times New Roman" w:hAnsi="Times New Roman" w:cs="Times New Roman"/>
          <w:sz w:val="24"/>
        </w:rPr>
        <w:t>ze significative sulle performance produttive dell’animale, in relazione all’impiego di materie prime geneticamente modificate (Hammond et al., 1996; Brake &amp; Vlachos, 1998; Flachowsky &amp; Aulrich, 2001). Abbiamo visto invece come la seconda questione abbia u</w:t>
      </w:r>
      <w:r>
        <w:rPr>
          <w:rFonts w:ascii="Times New Roman" w:hAnsi="Times New Roman" w:cs="Times New Roman"/>
          <w:sz w:val="24"/>
        </w:rPr>
        <w:t xml:space="preserve">n approccio metodologico decisamente più complesso, ma che tuttavia non esclude la possibilità che elementi di DNA eterologo possano essere identificati e caratterizzati. Per certo, lo sviluppo delle biotecnologie sta contribuendo e contribuirà certamente </w:t>
      </w:r>
      <w:r>
        <w:rPr>
          <w:rFonts w:ascii="Times New Roman" w:hAnsi="Times New Roman" w:cs="Times New Roman"/>
          <w:sz w:val="24"/>
        </w:rPr>
        <w:t>nel prossimo futuro a mettere a disposizione tecniche analitiche sempre più robuste e sensibili allo scopo di individuare tali elementi, che potranno garantire il controllo di tutta le filiera.</w:t>
      </w:r>
    </w:p>
    <w:p w:rsidR="00000000" w:rsidRDefault="00EF76B6">
      <w:pPr>
        <w:pStyle w:val="Corpodeltesto3"/>
        <w:widowControl/>
        <w:autoSpaceDE/>
        <w:spacing w:line="480" w:lineRule="auto"/>
        <w:rPr>
          <w:rFonts w:ascii="Times New Roman" w:hAnsi="Times New Roman" w:cs="Times New Roman"/>
          <w:sz w:val="24"/>
        </w:rPr>
      </w:pPr>
      <w:r>
        <w:rPr>
          <w:rFonts w:ascii="Times New Roman" w:hAnsi="Times New Roman" w:cs="Times New Roman"/>
          <w:sz w:val="24"/>
        </w:rPr>
        <w:t>Riferimenti bibliografici</w:t>
      </w:r>
    </w:p>
    <w:p w:rsidR="00000000" w:rsidRDefault="00EF76B6">
      <w:pPr>
        <w:numPr>
          <w:ilvl w:val="0"/>
          <w:numId w:val="2"/>
        </w:numPr>
        <w:spacing w:line="360" w:lineRule="auto"/>
        <w:jc w:val="both"/>
        <w:rPr>
          <w:lang w:val="de-DE"/>
        </w:rPr>
      </w:pPr>
      <w:r>
        <w:rPr>
          <w:lang w:val="de-DE"/>
        </w:rPr>
        <w:t>Aurlich K., H.Böme, R. Daenicke., I.</w:t>
      </w:r>
      <w:r>
        <w:rPr>
          <w:lang w:val="de-DE"/>
        </w:rPr>
        <w:t xml:space="preserve"> Halle, G. Flachowsky (2002). </w:t>
      </w:r>
      <w:r>
        <w:rPr>
          <w:lang w:val="en-GB"/>
        </w:rPr>
        <w:t xml:space="preserve">Food Int. Research. </w:t>
      </w:r>
      <w:r>
        <w:rPr>
          <w:lang w:val="de-DE"/>
        </w:rPr>
        <w:t>35: 285-293.</w:t>
      </w:r>
    </w:p>
    <w:p w:rsidR="00000000" w:rsidRDefault="00EF76B6">
      <w:pPr>
        <w:numPr>
          <w:ilvl w:val="0"/>
          <w:numId w:val="2"/>
        </w:numPr>
        <w:spacing w:line="360" w:lineRule="auto"/>
        <w:jc w:val="both"/>
        <w:rPr>
          <w:szCs w:val="22"/>
          <w:lang w:val="en-GB"/>
        </w:rPr>
      </w:pPr>
      <w:r>
        <w:rPr>
          <w:szCs w:val="22"/>
          <w:lang w:val="de-DE"/>
        </w:rPr>
        <w:t xml:space="preserve">Anklam E., F. Gadani, P. Heinze, H. Pijnenburg &amp; G. Van den Ende (2002). </w:t>
      </w:r>
      <w:r>
        <w:rPr>
          <w:szCs w:val="22"/>
          <w:lang w:val="en-GB"/>
        </w:rPr>
        <w:t>Eur. Food Res., Technol. 214: 3-26.</w:t>
      </w:r>
    </w:p>
    <w:p w:rsidR="00000000" w:rsidRDefault="00EF76B6">
      <w:pPr>
        <w:numPr>
          <w:ilvl w:val="0"/>
          <w:numId w:val="2"/>
        </w:numPr>
        <w:spacing w:line="360" w:lineRule="auto"/>
        <w:jc w:val="both"/>
        <w:rPr>
          <w:szCs w:val="22"/>
          <w:lang w:val="en-GB"/>
        </w:rPr>
      </w:pPr>
      <w:r>
        <w:rPr>
          <w:szCs w:val="22"/>
          <w:lang w:val="en-GB"/>
        </w:rPr>
        <w:t>Brake J &amp; Vlachos D. (1998). Poult. Sci., 77: 648-653.</w:t>
      </w:r>
    </w:p>
    <w:p w:rsidR="00000000" w:rsidRDefault="00EF76B6">
      <w:pPr>
        <w:numPr>
          <w:ilvl w:val="0"/>
          <w:numId w:val="2"/>
        </w:numPr>
        <w:spacing w:line="360" w:lineRule="auto"/>
        <w:jc w:val="both"/>
        <w:rPr>
          <w:szCs w:val="22"/>
          <w:lang w:val="en-GB"/>
        </w:rPr>
      </w:pPr>
      <w:r>
        <w:rPr>
          <w:szCs w:val="22"/>
          <w:lang w:val="en-GB"/>
        </w:rPr>
        <w:t>Davison J. (1999). Plasmid, 4</w:t>
      </w:r>
      <w:r>
        <w:rPr>
          <w:szCs w:val="22"/>
          <w:lang w:val="en-GB"/>
        </w:rPr>
        <w:t>2: 73-91.</w:t>
      </w:r>
    </w:p>
    <w:p w:rsidR="00000000" w:rsidRDefault="00EF76B6">
      <w:pPr>
        <w:numPr>
          <w:ilvl w:val="0"/>
          <w:numId w:val="2"/>
        </w:numPr>
        <w:spacing w:line="360" w:lineRule="auto"/>
        <w:jc w:val="both"/>
        <w:rPr>
          <w:szCs w:val="22"/>
          <w:lang w:val="en-GB"/>
        </w:rPr>
      </w:pPr>
      <w:r>
        <w:rPr>
          <w:szCs w:val="22"/>
          <w:lang w:val="en-GB"/>
        </w:rPr>
        <w:t>Doerfler W. (2000). In: Foreign DNA in mammalian system. Wiley-VCH, Weinheim, New York.</w:t>
      </w:r>
    </w:p>
    <w:p w:rsidR="00000000" w:rsidRDefault="00EF76B6">
      <w:pPr>
        <w:numPr>
          <w:ilvl w:val="0"/>
          <w:numId w:val="2"/>
        </w:numPr>
        <w:spacing w:line="360" w:lineRule="auto"/>
        <w:jc w:val="both"/>
        <w:rPr>
          <w:szCs w:val="22"/>
          <w:lang w:val="de-DE"/>
        </w:rPr>
      </w:pPr>
      <w:r>
        <w:rPr>
          <w:szCs w:val="22"/>
          <w:lang w:val="de-DE"/>
        </w:rPr>
        <w:lastRenderedPageBreak/>
        <w:t>Doerfler W. (2001). Biol. Chem. Hoppe-Seyler. 372: 557-564.</w:t>
      </w:r>
    </w:p>
    <w:p w:rsidR="00000000" w:rsidRDefault="00EF76B6">
      <w:pPr>
        <w:numPr>
          <w:ilvl w:val="0"/>
          <w:numId w:val="2"/>
        </w:numPr>
        <w:spacing w:line="360" w:lineRule="auto"/>
        <w:jc w:val="both"/>
        <w:rPr>
          <w:szCs w:val="22"/>
          <w:lang w:val="en-GB"/>
        </w:rPr>
      </w:pPr>
      <w:r>
        <w:rPr>
          <w:szCs w:val="22"/>
          <w:lang w:val="de-DE"/>
        </w:rPr>
        <w:t xml:space="preserve">Doefler W., R. Schubbert, H. Heller, C. Kammer, K. Hilger-Eversheim, M. Knoblauch &amp; Remus (1997). </w:t>
      </w:r>
      <w:r>
        <w:rPr>
          <w:szCs w:val="22"/>
          <w:lang w:val="en-GB"/>
        </w:rPr>
        <w:t>Trends Biotechnol., 15: 297-301.</w:t>
      </w:r>
    </w:p>
    <w:p w:rsidR="00000000" w:rsidRDefault="00EF76B6">
      <w:pPr>
        <w:numPr>
          <w:ilvl w:val="0"/>
          <w:numId w:val="2"/>
        </w:numPr>
        <w:spacing w:line="360" w:lineRule="auto"/>
        <w:jc w:val="both"/>
        <w:rPr>
          <w:szCs w:val="22"/>
          <w:lang w:val="de-DE"/>
        </w:rPr>
      </w:pPr>
      <w:r>
        <w:rPr>
          <w:szCs w:val="22"/>
          <w:lang w:val="en-GB"/>
        </w:rPr>
        <w:t xml:space="preserve">Duggan P.S., P.A. Chambers, J Heritage &amp; J.M. Forbes (2000). </w:t>
      </w:r>
      <w:r>
        <w:rPr>
          <w:szCs w:val="22"/>
          <w:lang w:val="de-DE"/>
        </w:rPr>
        <w:t>FEMS Microbiol. Letters, 191: 71-77.</w:t>
      </w:r>
    </w:p>
    <w:p w:rsidR="00000000" w:rsidRDefault="00EF76B6">
      <w:pPr>
        <w:numPr>
          <w:ilvl w:val="0"/>
          <w:numId w:val="2"/>
        </w:numPr>
        <w:spacing w:line="360" w:lineRule="auto"/>
        <w:jc w:val="both"/>
        <w:rPr>
          <w:szCs w:val="22"/>
          <w:lang w:val="en-GB"/>
        </w:rPr>
      </w:pPr>
      <w:r>
        <w:rPr>
          <w:szCs w:val="22"/>
          <w:lang w:val="de-DE"/>
        </w:rPr>
        <w:t xml:space="preserve">Einspanier R., A. Klotz, J. Kraft, K. Aulrich, P. Poser, F. Schwagele, G. Jahreis &amp; G. Flachowsky (2001). </w:t>
      </w:r>
      <w:r>
        <w:rPr>
          <w:szCs w:val="22"/>
          <w:lang w:val="en-GB"/>
        </w:rPr>
        <w:t>Europ. Food Res. Te</w:t>
      </w:r>
      <w:r>
        <w:rPr>
          <w:szCs w:val="22"/>
          <w:lang w:val="en-GB"/>
        </w:rPr>
        <w:t>chnol., 212: 129-134.</w:t>
      </w:r>
    </w:p>
    <w:p w:rsidR="00000000" w:rsidRDefault="00EF76B6">
      <w:pPr>
        <w:numPr>
          <w:ilvl w:val="0"/>
          <w:numId w:val="2"/>
        </w:numPr>
        <w:spacing w:line="360" w:lineRule="auto"/>
        <w:jc w:val="both"/>
        <w:rPr>
          <w:szCs w:val="22"/>
          <w:lang w:val="en-GB"/>
        </w:rPr>
      </w:pPr>
      <w:r>
        <w:rPr>
          <w:szCs w:val="22"/>
          <w:lang w:val="en-GB"/>
        </w:rPr>
        <w:t>FAO/WHO (2001). In : ‘Food and Agriculture Organization of the United Nations’, Rome, 22-25 January, 2001.</w:t>
      </w:r>
    </w:p>
    <w:p w:rsidR="00000000" w:rsidRDefault="00EF76B6">
      <w:pPr>
        <w:numPr>
          <w:ilvl w:val="0"/>
          <w:numId w:val="2"/>
        </w:numPr>
        <w:spacing w:line="360" w:lineRule="auto"/>
        <w:jc w:val="both"/>
        <w:rPr>
          <w:szCs w:val="22"/>
          <w:lang w:val="de-DE"/>
        </w:rPr>
      </w:pPr>
      <w:r>
        <w:rPr>
          <w:szCs w:val="22"/>
          <w:lang w:val="en-GB"/>
        </w:rPr>
        <w:t xml:space="preserve">Flachowsky G. &amp; Aulrich K. (2001). </w:t>
      </w:r>
      <w:r>
        <w:rPr>
          <w:szCs w:val="22"/>
          <w:lang w:val="de-DE"/>
        </w:rPr>
        <w:t>J. Anim. Sci.,10: 181-194.</w:t>
      </w:r>
    </w:p>
    <w:p w:rsidR="00000000" w:rsidRDefault="00EF76B6">
      <w:pPr>
        <w:numPr>
          <w:ilvl w:val="0"/>
          <w:numId w:val="2"/>
        </w:numPr>
        <w:spacing w:line="360" w:lineRule="auto"/>
        <w:jc w:val="both"/>
        <w:rPr>
          <w:szCs w:val="22"/>
        </w:rPr>
      </w:pPr>
      <w:r>
        <w:rPr>
          <w:szCs w:val="22"/>
        </w:rPr>
        <w:t>Gallori E., M. Bazzicalupo, R. Fani, P. Nannipieri, C. Vettori, G</w:t>
      </w:r>
      <w:r>
        <w:rPr>
          <w:szCs w:val="22"/>
        </w:rPr>
        <w:t>. Stotzky (1994). FEMS Microbiol. Ecol. 15: 119-126.</w:t>
      </w:r>
    </w:p>
    <w:p w:rsidR="00000000" w:rsidRDefault="00EF76B6">
      <w:pPr>
        <w:numPr>
          <w:ilvl w:val="0"/>
          <w:numId w:val="2"/>
        </w:numPr>
        <w:spacing w:line="360" w:lineRule="auto"/>
        <w:jc w:val="both"/>
        <w:rPr>
          <w:szCs w:val="22"/>
          <w:lang w:val="en-GB"/>
        </w:rPr>
      </w:pPr>
      <w:r>
        <w:rPr>
          <w:szCs w:val="22"/>
          <w:lang w:val="de-DE"/>
        </w:rPr>
        <w:t xml:space="preserve">Klotz A., Mayer J. &amp; R. Einspanier (2002). </w:t>
      </w:r>
      <w:r>
        <w:rPr>
          <w:szCs w:val="22"/>
          <w:lang w:val="en-GB"/>
        </w:rPr>
        <w:t>Eur. Food Res. Technol., 214: 271-275.</w:t>
      </w:r>
    </w:p>
    <w:p w:rsidR="00000000" w:rsidRDefault="00EF76B6">
      <w:pPr>
        <w:numPr>
          <w:ilvl w:val="0"/>
          <w:numId w:val="2"/>
        </w:numPr>
        <w:spacing w:line="360" w:lineRule="auto"/>
        <w:jc w:val="both"/>
        <w:rPr>
          <w:szCs w:val="22"/>
          <w:lang w:val="en-GB"/>
        </w:rPr>
      </w:pPr>
      <w:r>
        <w:rPr>
          <w:szCs w:val="22"/>
          <w:lang w:val="en-GB"/>
        </w:rPr>
        <w:t>Flint H.J., S.H. Duncan &amp; Stewart C.S. (1987). Lett. Appl. Microbiol., 5: 47-49.</w:t>
      </w:r>
    </w:p>
    <w:p w:rsidR="00000000" w:rsidRDefault="00EF76B6">
      <w:pPr>
        <w:numPr>
          <w:ilvl w:val="0"/>
          <w:numId w:val="2"/>
        </w:numPr>
        <w:spacing w:line="360" w:lineRule="auto"/>
        <w:jc w:val="both"/>
        <w:rPr>
          <w:szCs w:val="22"/>
          <w:lang w:val="fr-FR"/>
        </w:rPr>
      </w:pPr>
      <w:r>
        <w:rPr>
          <w:szCs w:val="22"/>
          <w:lang w:val="fr-FR"/>
        </w:rPr>
        <w:t>Gasson M.J. (2000). Curr. Opinion Biotec</w:t>
      </w:r>
      <w:r>
        <w:rPr>
          <w:szCs w:val="22"/>
          <w:lang w:val="fr-FR"/>
        </w:rPr>
        <w:t>hnol. 11 :505-508.</w:t>
      </w:r>
    </w:p>
    <w:p w:rsidR="00000000" w:rsidRDefault="00EF76B6">
      <w:pPr>
        <w:numPr>
          <w:ilvl w:val="0"/>
          <w:numId w:val="2"/>
        </w:numPr>
        <w:spacing w:line="360" w:lineRule="auto"/>
        <w:jc w:val="both"/>
        <w:rPr>
          <w:szCs w:val="22"/>
          <w:lang w:val="de-DE"/>
        </w:rPr>
      </w:pPr>
      <w:r>
        <w:rPr>
          <w:szCs w:val="22"/>
          <w:lang w:val="fr-FR"/>
        </w:rPr>
        <w:t>Hammond B.G., H. Vicini, G:F. Hartnell, M.W. Naylor, C.D., Khight, E.H. Robinson, R.L. Fuchs &amp; S.R. P</w:t>
      </w:r>
      <w:r>
        <w:rPr>
          <w:szCs w:val="22"/>
          <w:lang w:val="en-GB"/>
        </w:rPr>
        <w:t xml:space="preserve">adgette (1996). </w:t>
      </w:r>
      <w:r>
        <w:rPr>
          <w:szCs w:val="22"/>
          <w:lang w:val="de-DE"/>
        </w:rPr>
        <w:t>J. Nutr., 126: 717-727.</w:t>
      </w:r>
    </w:p>
    <w:p w:rsidR="00000000" w:rsidRDefault="00EF76B6">
      <w:pPr>
        <w:numPr>
          <w:ilvl w:val="0"/>
          <w:numId w:val="2"/>
        </w:numPr>
        <w:spacing w:line="360" w:lineRule="auto"/>
        <w:jc w:val="both"/>
        <w:rPr>
          <w:szCs w:val="22"/>
          <w:lang w:val="de-DE"/>
        </w:rPr>
      </w:pPr>
      <w:r>
        <w:rPr>
          <w:szCs w:val="22"/>
          <w:lang w:val="de-DE"/>
        </w:rPr>
        <w:t>Hohlweg U. &amp; Doefler W. (2001). Mol. Genet. Genomics, 265: 225-233.</w:t>
      </w:r>
    </w:p>
    <w:p w:rsidR="00000000" w:rsidRDefault="00EF76B6">
      <w:pPr>
        <w:numPr>
          <w:ilvl w:val="0"/>
          <w:numId w:val="2"/>
        </w:numPr>
        <w:spacing w:line="360" w:lineRule="auto"/>
        <w:jc w:val="both"/>
        <w:rPr>
          <w:szCs w:val="22"/>
          <w:lang w:val="en-GB"/>
        </w:rPr>
      </w:pPr>
      <w:r>
        <w:rPr>
          <w:szCs w:val="22"/>
          <w:lang w:val="de-DE"/>
        </w:rPr>
        <w:t>Kleter G.A.&amp; H.A. Kuiper (20</w:t>
      </w:r>
      <w:r>
        <w:rPr>
          <w:szCs w:val="22"/>
          <w:lang w:val="de-DE"/>
        </w:rPr>
        <w:t xml:space="preserve">02). </w:t>
      </w:r>
      <w:r>
        <w:rPr>
          <w:szCs w:val="22"/>
          <w:lang w:val="en-GB"/>
        </w:rPr>
        <w:t>Liv. Prod. Sci. 74: 275-285.</w:t>
      </w:r>
    </w:p>
    <w:p w:rsidR="00000000" w:rsidRDefault="00EF76B6">
      <w:pPr>
        <w:numPr>
          <w:ilvl w:val="0"/>
          <w:numId w:val="2"/>
        </w:numPr>
        <w:spacing w:line="360" w:lineRule="auto"/>
        <w:jc w:val="both"/>
        <w:rPr>
          <w:szCs w:val="22"/>
          <w:lang w:val="de-DE"/>
        </w:rPr>
      </w:pPr>
      <w:r>
        <w:rPr>
          <w:szCs w:val="22"/>
          <w:lang w:val="de-DE"/>
        </w:rPr>
        <w:t>Klotz A. &amp; Einspanier (1998). Mais 26: 109-111.</w:t>
      </w:r>
    </w:p>
    <w:p w:rsidR="00000000" w:rsidRDefault="00EF76B6">
      <w:pPr>
        <w:numPr>
          <w:ilvl w:val="0"/>
          <w:numId w:val="2"/>
        </w:numPr>
        <w:spacing w:line="360" w:lineRule="auto"/>
        <w:jc w:val="both"/>
        <w:rPr>
          <w:szCs w:val="22"/>
          <w:lang w:val="en-GB"/>
        </w:rPr>
      </w:pPr>
      <w:r>
        <w:rPr>
          <w:szCs w:val="22"/>
          <w:lang w:val="de-DE"/>
        </w:rPr>
        <w:t xml:space="preserve">Klotz A, J.Mayer, R. Einspanier (2002). </w:t>
      </w:r>
      <w:r>
        <w:rPr>
          <w:szCs w:val="22"/>
          <w:lang w:val="en-GB"/>
        </w:rPr>
        <w:t>Eur.Food Technol. 214: 271-275.</w:t>
      </w:r>
    </w:p>
    <w:p w:rsidR="00000000" w:rsidRDefault="00EF76B6">
      <w:pPr>
        <w:numPr>
          <w:ilvl w:val="0"/>
          <w:numId w:val="2"/>
        </w:numPr>
        <w:spacing w:line="360" w:lineRule="auto"/>
        <w:jc w:val="both"/>
        <w:rPr>
          <w:szCs w:val="22"/>
          <w:lang w:val="en-GB"/>
        </w:rPr>
      </w:pPr>
      <w:r>
        <w:rPr>
          <w:szCs w:val="22"/>
          <w:lang w:val="de-DE"/>
        </w:rPr>
        <w:t xml:space="preserve">Kuiper H.A., H.P.J.M. Noterborn, E.J. Kok, G.A. Kleter (2002). </w:t>
      </w:r>
      <w:r>
        <w:rPr>
          <w:szCs w:val="22"/>
          <w:lang w:val="en-GB"/>
        </w:rPr>
        <w:t>Food Res. Int. 35: 267-271.</w:t>
      </w:r>
    </w:p>
    <w:p w:rsidR="00000000" w:rsidRDefault="00EF76B6">
      <w:pPr>
        <w:numPr>
          <w:ilvl w:val="0"/>
          <w:numId w:val="2"/>
        </w:numPr>
        <w:spacing w:line="360" w:lineRule="auto"/>
        <w:jc w:val="both"/>
        <w:rPr>
          <w:szCs w:val="22"/>
          <w:lang w:val="de-DE"/>
        </w:rPr>
      </w:pPr>
      <w:r>
        <w:rPr>
          <w:szCs w:val="22"/>
          <w:lang w:val="de-DE"/>
        </w:rPr>
        <w:t>Martín-Orúe</w:t>
      </w:r>
      <w:r>
        <w:rPr>
          <w:szCs w:val="22"/>
          <w:lang w:val="de-DE"/>
        </w:rPr>
        <w:t xml:space="preserve"> S.M., A.G.O’Donnell, J. Ariño, T. Netherwood, H.J. Gilbert &amp; C. Mathers (2002). J.Nutr., 87: 533-542.</w:t>
      </w:r>
    </w:p>
    <w:p w:rsidR="00000000" w:rsidRDefault="00EF76B6">
      <w:pPr>
        <w:numPr>
          <w:ilvl w:val="0"/>
          <w:numId w:val="2"/>
        </w:numPr>
        <w:spacing w:line="360" w:lineRule="auto"/>
        <w:jc w:val="both"/>
        <w:rPr>
          <w:szCs w:val="22"/>
          <w:lang w:val="de-DE"/>
        </w:rPr>
      </w:pPr>
      <w:r>
        <w:rPr>
          <w:szCs w:val="22"/>
          <w:lang w:val="de-DE"/>
        </w:rPr>
        <w:t>Schubbert R., C. Lettmann &amp; Doefler W. (1994). Mol. Gen. Genet., 242: 495-504.</w:t>
      </w:r>
    </w:p>
    <w:p w:rsidR="00000000" w:rsidRDefault="00EF76B6">
      <w:pPr>
        <w:numPr>
          <w:ilvl w:val="0"/>
          <w:numId w:val="2"/>
        </w:numPr>
        <w:spacing w:line="360" w:lineRule="auto"/>
        <w:jc w:val="both"/>
        <w:rPr>
          <w:szCs w:val="22"/>
          <w:lang w:val="de-DE"/>
        </w:rPr>
      </w:pPr>
      <w:r>
        <w:rPr>
          <w:szCs w:val="22"/>
          <w:lang w:val="de-DE"/>
        </w:rPr>
        <w:t xml:space="preserve">Schubbert R., D. Renz, B Schmitz &amp; W. Doefler (1997). </w:t>
      </w:r>
      <w:r>
        <w:rPr>
          <w:szCs w:val="22"/>
          <w:lang w:val="en-GB"/>
        </w:rPr>
        <w:t>Proceedings of Natl.</w:t>
      </w:r>
      <w:r>
        <w:rPr>
          <w:szCs w:val="22"/>
          <w:lang w:val="en-GB"/>
        </w:rPr>
        <w:t xml:space="preserve"> Ac. </w:t>
      </w:r>
      <w:r>
        <w:rPr>
          <w:szCs w:val="22"/>
          <w:lang w:val="de-DE"/>
        </w:rPr>
        <w:t>Sci USA, 94: 961-966.</w:t>
      </w:r>
    </w:p>
    <w:p w:rsidR="00000000" w:rsidRDefault="00EF76B6">
      <w:pPr>
        <w:numPr>
          <w:ilvl w:val="0"/>
          <w:numId w:val="2"/>
        </w:numPr>
        <w:spacing w:line="360" w:lineRule="auto"/>
        <w:jc w:val="both"/>
        <w:rPr>
          <w:szCs w:val="22"/>
          <w:lang w:val="de-DE"/>
        </w:rPr>
      </w:pPr>
      <w:r>
        <w:rPr>
          <w:szCs w:val="22"/>
          <w:lang w:val="de-DE"/>
        </w:rPr>
        <w:t>Schubbert R., U. Hohlweg, D. Renz &amp; Doefler W. (1998). Mol. Gen. Genet., 259: 569-576.</w:t>
      </w:r>
    </w:p>
    <w:p w:rsidR="00000000" w:rsidRDefault="00EF76B6">
      <w:pPr>
        <w:numPr>
          <w:ilvl w:val="0"/>
          <w:numId w:val="2"/>
        </w:numPr>
        <w:spacing w:line="360" w:lineRule="auto"/>
        <w:jc w:val="both"/>
        <w:rPr>
          <w:szCs w:val="22"/>
          <w:lang w:val="de-DE"/>
        </w:rPr>
      </w:pPr>
      <w:r>
        <w:rPr>
          <w:szCs w:val="22"/>
          <w:lang w:val="de-DE"/>
        </w:rPr>
        <w:t>Stewart G.J. &amp; C.A. Carlson (1986). Annu.Rev. Microbiol. 40: 211-235.</w:t>
      </w:r>
    </w:p>
    <w:p w:rsidR="00000000" w:rsidRDefault="00EF76B6">
      <w:pPr>
        <w:numPr>
          <w:ilvl w:val="0"/>
          <w:numId w:val="2"/>
        </w:numPr>
        <w:spacing w:line="360" w:lineRule="auto"/>
        <w:jc w:val="both"/>
        <w:rPr>
          <w:szCs w:val="22"/>
          <w:lang w:val="en-GB"/>
        </w:rPr>
      </w:pPr>
      <w:r>
        <w:rPr>
          <w:szCs w:val="22"/>
          <w:lang w:val="en-GB"/>
        </w:rPr>
        <w:t>Wal J.M. (1998). Int. Dairy J. 8: 413-423.</w:t>
      </w:r>
    </w:p>
    <w:p w:rsidR="00000000" w:rsidRDefault="00EF76B6">
      <w:pPr>
        <w:numPr>
          <w:ilvl w:val="0"/>
          <w:numId w:val="2"/>
        </w:numPr>
        <w:spacing w:line="360" w:lineRule="auto"/>
        <w:jc w:val="both"/>
        <w:rPr>
          <w:szCs w:val="22"/>
        </w:rPr>
      </w:pPr>
      <w:r>
        <w:rPr>
          <w:szCs w:val="22"/>
        </w:rPr>
        <w:t>Zuccato E., Fanelli R. (2004)</w:t>
      </w:r>
      <w:r>
        <w:rPr>
          <w:szCs w:val="22"/>
        </w:rPr>
        <w:t xml:space="preserve"> Le Scienze, n. 425, 57-63.</w:t>
      </w:r>
    </w:p>
    <w:p w:rsidR="00000000" w:rsidRDefault="00EF76B6">
      <w:pPr>
        <w:spacing w:line="360" w:lineRule="auto"/>
        <w:ind w:left="360" w:hanging="360"/>
        <w:jc w:val="both"/>
        <w:rPr>
          <w:szCs w:val="22"/>
          <w:lang w:val="en-GB"/>
        </w:rPr>
      </w:pPr>
      <w:r>
        <w:rPr>
          <w:szCs w:val="22"/>
          <w:lang w:val="en-GB"/>
        </w:rPr>
        <w:t>-</w:t>
      </w:r>
      <w:r>
        <w:rPr>
          <w:szCs w:val="22"/>
          <w:lang w:val="en-GB"/>
        </w:rPr>
        <w:tab/>
        <w:t xml:space="preserve">Council Directive 2001/18/EEC, 12 marzo 2001. </w:t>
      </w:r>
      <w:r>
        <w:rPr>
          <w:szCs w:val="22"/>
          <w:lang w:val="fr-FR"/>
        </w:rPr>
        <w:t xml:space="preserve">Official J. Europ. </w:t>
      </w:r>
      <w:r>
        <w:rPr>
          <w:szCs w:val="22"/>
          <w:lang w:val="en-GB"/>
        </w:rPr>
        <w:t>Comm. No. L106/1, 17.4.2001.</w:t>
      </w:r>
    </w:p>
    <w:p w:rsidR="00000000" w:rsidRDefault="00EF76B6">
      <w:pPr>
        <w:numPr>
          <w:ilvl w:val="0"/>
          <w:numId w:val="1"/>
        </w:numPr>
        <w:spacing w:line="360" w:lineRule="auto"/>
        <w:jc w:val="both"/>
        <w:rPr>
          <w:szCs w:val="22"/>
          <w:lang w:val="en-GB"/>
        </w:rPr>
      </w:pPr>
      <w:r>
        <w:rPr>
          <w:szCs w:val="22"/>
          <w:lang w:val="en-GB"/>
        </w:rPr>
        <w:lastRenderedPageBreak/>
        <w:t>Coucil Regulation (EC) No. 1139/98, 26 maggio 1998. Official J. Europ. Comm. No. L159, 3.6.1998.</w:t>
      </w:r>
    </w:p>
    <w:p w:rsidR="00000000" w:rsidRDefault="00EF76B6">
      <w:pPr>
        <w:numPr>
          <w:ilvl w:val="0"/>
          <w:numId w:val="1"/>
        </w:numPr>
        <w:spacing w:line="360" w:lineRule="auto"/>
        <w:jc w:val="both"/>
        <w:rPr>
          <w:szCs w:val="22"/>
        </w:rPr>
      </w:pPr>
      <w:r>
        <w:rPr>
          <w:szCs w:val="22"/>
          <w:lang w:val="en-GB"/>
        </w:rPr>
        <w:t>Regulation (EC) No. 258/97, 27 Genn</w:t>
      </w:r>
      <w:r>
        <w:rPr>
          <w:szCs w:val="22"/>
          <w:lang w:val="en-GB"/>
        </w:rPr>
        <w:t xml:space="preserve">aio 1997. Official J. Europ. Comm. No. </w:t>
      </w:r>
      <w:r>
        <w:rPr>
          <w:szCs w:val="22"/>
        </w:rPr>
        <w:t>L043, 14.2.1997.</w:t>
      </w:r>
    </w:p>
    <w:p w:rsidR="00000000" w:rsidRDefault="00EF76B6">
      <w:pPr>
        <w:numPr>
          <w:ilvl w:val="0"/>
          <w:numId w:val="1"/>
        </w:numPr>
        <w:spacing w:line="360" w:lineRule="auto"/>
        <w:jc w:val="both"/>
        <w:rPr>
          <w:szCs w:val="22"/>
          <w:lang w:val="en-GB"/>
        </w:rPr>
      </w:pPr>
      <w:r>
        <w:rPr>
          <w:szCs w:val="22"/>
          <w:lang w:val="en-GB"/>
        </w:rPr>
        <w:t>Regulation (EC) N0. 1829, 22 Settembre 2003. Official J. Europ. Comm. No. L268, 18.10.2003.</w:t>
      </w:r>
    </w:p>
    <w:p w:rsidR="00EF76B6" w:rsidRDefault="00EF76B6">
      <w:pPr>
        <w:pStyle w:val="Corpodeltesto3"/>
        <w:widowControl/>
        <w:autoSpaceDE/>
        <w:spacing w:line="480" w:lineRule="auto"/>
        <w:rPr>
          <w:rFonts w:ascii="Times New Roman" w:hAnsi="Times New Roman" w:cs="Times New Roman"/>
          <w:sz w:val="24"/>
          <w:lang w:val="en-GB"/>
        </w:rPr>
      </w:pPr>
    </w:p>
    <w:sectPr w:rsidR="00EF76B6">
      <w:footerReference w:type="even"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76B6" w:rsidRDefault="00EF76B6">
      <w:r>
        <w:separator/>
      </w:r>
    </w:p>
  </w:endnote>
  <w:endnote w:type="continuationSeparator" w:id="0">
    <w:p w:rsidR="00EF76B6" w:rsidRDefault="00EF76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F76B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000000" w:rsidRDefault="00EF76B6">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F76B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9A7645">
      <w:rPr>
        <w:rStyle w:val="Numeropagina"/>
        <w:noProof/>
      </w:rPr>
      <w:t>10</w:t>
    </w:r>
    <w:r>
      <w:rPr>
        <w:rStyle w:val="Numeropagina"/>
      </w:rPr>
      <w:fldChar w:fldCharType="end"/>
    </w:r>
  </w:p>
  <w:p w:rsidR="00000000" w:rsidRDefault="00EF76B6">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76B6" w:rsidRDefault="00EF76B6">
      <w:r>
        <w:separator/>
      </w:r>
    </w:p>
  </w:footnote>
  <w:footnote w:type="continuationSeparator" w:id="0">
    <w:p w:rsidR="00EF76B6" w:rsidRDefault="00EF76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775B1"/>
    <w:multiLevelType w:val="singleLevel"/>
    <w:tmpl w:val="4AD41C34"/>
    <w:lvl w:ilvl="0">
      <w:numFmt w:val="bullet"/>
      <w:lvlText w:val="-"/>
      <w:lvlJc w:val="left"/>
      <w:pPr>
        <w:tabs>
          <w:tab w:val="num" w:pos="360"/>
        </w:tabs>
        <w:ind w:left="360" w:hanging="360"/>
      </w:pPr>
      <w:rPr>
        <w:rFonts w:ascii="Times New Roman" w:hAnsi="Times New Roman" w:cs="Times New Roman" w:hint="default"/>
      </w:rPr>
    </w:lvl>
  </w:abstractNum>
  <w:abstractNum w:abstractNumId="1">
    <w:nsid w:val="63D831A6"/>
    <w:multiLevelType w:val="hybridMultilevel"/>
    <w:tmpl w:val="D6529644"/>
    <w:lvl w:ilvl="0" w:tplc="0410000F">
      <w:start w:val="1"/>
      <w:numFmt w:val="decimal"/>
      <w:lvlText w:val="%1."/>
      <w:lvlJc w:val="left"/>
      <w:pPr>
        <w:tabs>
          <w:tab w:val="num" w:pos="720"/>
        </w:tabs>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283"/>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A7645"/>
    <w:rsid w:val="009A7645"/>
    <w:rsid w:val="00EF76B6"/>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szCs w:val="24"/>
    </w:rPr>
  </w:style>
  <w:style w:type="paragraph" w:styleId="Titolo1">
    <w:name w:val="heading 1"/>
    <w:basedOn w:val="Normale"/>
    <w:next w:val="Normale"/>
    <w:qFormat/>
    <w:pPr>
      <w:keepNext/>
      <w:spacing w:line="480" w:lineRule="auto"/>
      <w:jc w:val="both"/>
      <w:outlineLvl w:val="0"/>
    </w:pPr>
    <w:rPr>
      <w:i/>
      <w:iCs/>
    </w:rPr>
  </w:style>
  <w:style w:type="character" w:default="1" w:styleId="Carpredefinitoparagrafo">
    <w:name w:val="Default Paragraph Font"/>
    <w:semiHidden/>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
    <w:name w:val="Body Text"/>
    <w:basedOn w:val="Normale"/>
    <w:semiHidden/>
    <w:pPr>
      <w:spacing w:line="480" w:lineRule="auto"/>
      <w:jc w:val="both"/>
    </w:pPr>
  </w:style>
  <w:style w:type="paragraph" w:styleId="Corpodeltesto3">
    <w:name w:val="Body Text 3"/>
    <w:basedOn w:val="Normale"/>
    <w:semiHidden/>
    <w:pPr>
      <w:widowControl w:val="0"/>
      <w:autoSpaceDE w:val="0"/>
      <w:autoSpaceDN w:val="0"/>
      <w:spacing w:line="360" w:lineRule="auto"/>
      <w:jc w:val="both"/>
    </w:pPr>
    <w:rPr>
      <w:rFonts w:ascii="Arial" w:hAnsi="Arial" w:cs="Arial"/>
      <w:sz w:val="22"/>
      <w:szCs w:val="22"/>
    </w:rPr>
  </w:style>
  <w:style w:type="paragraph" w:styleId="Corpodeltesto2">
    <w:name w:val="Body Text 2"/>
    <w:basedOn w:val="Normale"/>
    <w:semiHidden/>
    <w:pPr>
      <w:spacing w:line="360" w:lineRule="auto"/>
    </w:pPr>
    <w:rPr>
      <w:rFonts w:ascii="Arial" w:hAnsi="Arial" w:cs="Arial"/>
      <w:sz w:val="22"/>
      <w:szCs w:val="22"/>
    </w:rPr>
  </w:style>
  <w:style w:type="paragraph" w:styleId="Pidipagina">
    <w:name w:val="footer"/>
    <w:basedOn w:val="Normale"/>
    <w:semiHidden/>
    <w:pPr>
      <w:tabs>
        <w:tab w:val="center" w:pos="4819"/>
        <w:tab w:val="right" w:pos="9638"/>
      </w:tabs>
    </w:pPr>
  </w:style>
  <w:style w:type="character" w:styleId="Numeropagina">
    <w:name w:val="page number"/>
    <w:basedOn w:val="Carpredefinitoparagrafo"/>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3040</Words>
  <Characters>17333</Characters>
  <Application>Microsoft Office Word</Application>
  <DocSecurity>0</DocSecurity>
  <Lines>144</Lines>
  <Paragraphs>40</Paragraphs>
  <ScaleCrop>false</ScaleCrop>
  <HeadingPairs>
    <vt:vector size="2" baseType="variant">
      <vt:variant>
        <vt:lpstr>Titolo</vt:lpstr>
      </vt:variant>
      <vt:variant>
        <vt:i4>1</vt:i4>
      </vt:variant>
    </vt:vector>
  </HeadingPairs>
  <TitlesOfParts>
    <vt:vector size="1" baseType="lpstr">
      <vt:lpstr>La sicurezza degli organismi geneticamente modificati è ancora oggi argomento ampiamente discusso </vt:lpstr>
    </vt:vector>
  </TitlesOfParts>
  <Company>VSA</Company>
  <LinksUpToDate>false</LinksUpToDate>
  <CharactersWithSpaces>20333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sicurezza degli organismi geneticamente modificati è ancora oggi argomento ampiamente discusso </dc:title>
  <dc:subject/>
  <dc:creator>FBELLAGAMBA</dc:creator>
  <cp:keywords/>
  <dc:description/>
  <cp:lastModifiedBy>Dip. V.S.A. Unimi</cp:lastModifiedBy>
  <cp:revision>2</cp:revision>
  <cp:lastPrinted>2004-01-05T15:00:00Z</cp:lastPrinted>
  <dcterms:created xsi:type="dcterms:W3CDTF">2012-02-13T10:19:00Z</dcterms:created>
  <dcterms:modified xsi:type="dcterms:W3CDTF">2012-02-13T10:19:00Z</dcterms:modified>
</cp:coreProperties>
</file>