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after="0" w:line="240" w:lineRule="auto"/>
        <w:jc w:val="center"/>
        <w:rPr>
          <w:rFonts w:ascii="Times New Roman" w:hAnsi="Times New Roman"/>
          <w:b/>
          <w:sz w:val="24"/>
          <w:szCs w:val="24"/>
          <w:lang w:val="en-US"/>
        </w:rPr>
      </w:pPr>
      <w:r>
        <w:rPr>
          <w:rFonts w:ascii="Times New Roman" w:hAnsi="Times New Roman"/>
          <w:b/>
          <w:sz w:val="24"/>
          <w:szCs w:val="24"/>
          <w:lang w:val="en-US"/>
        </w:rPr>
        <w:t xml:space="preserve">Influence of </w:t>
      </w:r>
      <w:r>
        <w:rPr>
          <w:rFonts w:ascii="Times New Roman" w:hAnsi="Times New Roman"/>
          <w:b/>
          <w:i/>
          <w:sz w:val="24"/>
          <w:szCs w:val="24"/>
          <w:lang w:val="en-US"/>
        </w:rPr>
        <w:t>Lactobacillus acidophilus</w:t>
      </w:r>
      <w:r>
        <w:rPr>
          <w:rFonts w:ascii="Times New Roman" w:hAnsi="Times New Roman"/>
          <w:b/>
          <w:sz w:val="24"/>
          <w:szCs w:val="24"/>
          <w:lang w:val="en-US"/>
        </w:rPr>
        <w:t xml:space="preserve"> and </w:t>
      </w:r>
      <w:r>
        <w:rPr>
          <w:rFonts w:ascii="Times New Roman" w:hAnsi="Times New Roman"/>
          <w:b/>
          <w:i/>
          <w:sz w:val="24"/>
          <w:szCs w:val="24"/>
          <w:lang w:val="en-GB"/>
        </w:rPr>
        <w:t xml:space="preserve">Lactobacillus </w:t>
      </w:r>
      <w:proofErr w:type="spellStart"/>
      <w:r>
        <w:rPr>
          <w:rFonts w:ascii="Times New Roman" w:hAnsi="Times New Roman"/>
          <w:b/>
          <w:i/>
          <w:sz w:val="24"/>
          <w:szCs w:val="24"/>
          <w:lang w:val="en-GB"/>
        </w:rPr>
        <w:t>plantarum</w:t>
      </w:r>
      <w:proofErr w:type="spellEnd"/>
      <w:r>
        <w:rPr>
          <w:rFonts w:ascii="Times New Roman" w:hAnsi="Times New Roman"/>
          <w:b/>
          <w:sz w:val="24"/>
          <w:szCs w:val="24"/>
          <w:lang w:val="en-GB"/>
        </w:rPr>
        <w:t xml:space="preserve"> </w:t>
      </w:r>
      <w:r>
        <w:rPr>
          <w:rFonts w:ascii="Times New Roman" w:hAnsi="Times New Roman"/>
          <w:b/>
          <w:sz w:val="24"/>
          <w:szCs w:val="24"/>
          <w:lang w:val="en-US"/>
        </w:rPr>
        <w:t>supplementation in drinking water on egg quality and layer performance</w:t>
      </w:r>
    </w:p>
    <w:p>
      <w:pPr>
        <w:spacing w:after="0" w:line="240" w:lineRule="auto"/>
        <w:jc w:val="center"/>
        <w:rPr>
          <w:rFonts w:ascii="Times New Roman" w:hAnsi="Times New Roman"/>
          <w:b/>
          <w:sz w:val="24"/>
          <w:szCs w:val="24"/>
          <w:lang w:val="en-US"/>
        </w:rPr>
      </w:pPr>
    </w:p>
    <w:p>
      <w:pPr>
        <w:spacing w:after="0" w:line="240" w:lineRule="auto"/>
        <w:jc w:val="center"/>
        <w:rPr>
          <w:rFonts w:ascii="Times New Roman" w:hAnsi="Times New Roman"/>
          <w:b/>
          <w:sz w:val="24"/>
          <w:szCs w:val="24"/>
          <w:vertAlign w:val="superscript"/>
        </w:rPr>
      </w:pPr>
      <w:r>
        <w:rPr>
          <w:rFonts w:ascii="Times New Roman" w:hAnsi="Times New Roman"/>
          <w:b/>
          <w:sz w:val="24"/>
          <w:szCs w:val="24"/>
        </w:rPr>
        <w:t>Toschi I.</w:t>
      </w:r>
      <w:r>
        <w:rPr>
          <w:rFonts w:ascii="Times New Roman" w:hAnsi="Times New Roman"/>
          <w:b/>
          <w:sz w:val="24"/>
          <w:szCs w:val="24"/>
          <w:vertAlign w:val="superscript"/>
        </w:rPr>
        <w:t>1</w:t>
      </w:r>
      <w:r>
        <w:rPr>
          <w:rFonts w:ascii="Times New Roman" w:hAnsi="Times New Roman"/>
          <w:b/>
          <w:sz w:val="24"/>
          <w:szCs w:val="24"/>
        </w:rPr>
        <w:t>, Cesari V.</w:t>
      </w:r>
      <w:r>
        <w:rPr>
          <w:rFonts w:ascii="Times New Roman" w:hAnsi="Times New Roman"/>
          <w:b/>
          <w:sz w:val="24"/>
          <w:szCs w:val="24"/>
          <w:vertAlign w:val="superscript"/>
        </w:rPr>
        <w:t>1</w:t>
      </w:r>
      <w:r>
        <w:rPr>
          <w:rFonts w:ascii="Times New Roman" w:hAnsi="Times New Roman"/>
          <w:b/>
          <w:sz w:val="24"/>
          <w:szCs w:val="24"/>
        </w:rPr>
        <w:t xml:space="preserve">, </w:t>
      </w:r>
      <w:proofErr w:type="spellStart"/>
      <w:r>
        <w:rPr>
          <w:rFonts w:ascii="Times New Roman" w:hAnsi="Times New Roman"/>
          <w:b/>
          <w:sz w:val="24"/>
          <w:szCs w:val="24"/>
        </w:rPr>
        <w:t>Gallazzi</w:t>
      </w:r>
      <w:proofErr w:type="spellEnd"/>
      <w:r>
        <w:rPr>
          <w:rFonts w:ascii="Times New Roman" w:hAnsi="Times New Roman"/>
          <w:b/>
          <w:sz w:val="24"/>
          <w:szCs w:val="24"/>
        </w:rPr>
        <w:t xml:space="preserve"> D</w:t>
      </w:r>
      <w:r>
        <w:rPr>
          <w:rFonts w:ascii="Times New Roman" w:hAnsi="Times New Roman"/>
          <w:b/>
          <w:sz w:val="24"/>
          <w:szCs w:val="24"/>
          <w:vertAlign w:val="superscript"/>
        </w:rPr>
        <w:t>2</w:t>
      </w:r>
      <w:r>
        <w:rPr>
          <w:rFonts w:ascii="Times New Roman" w:hAnsi="Times New Roman"/>
          <w:b/>
          <w:sz w:val="24"/>
          <w:szCs w:val="24"/>
        </w:rPr>
        <w:t>., Giardini A.</w:t>
      </w:r>
      <w:r>
        <w:rPr>
          <w:rFonts w:ascii="Times New Roman" w:hAnsi="Times New Roman"/>
          <w:b/>
          <w:sz w:val="24"/>
          <w:szCs w:val="24"/>
          <w:vertAlign w:val="superscript"/>
        </w:rPr>
        <w:t>3</w:t>
      </w:r>
    </w:p>
    <w:p>
      <w:pPr>
        <w:spacing w:after="0" w:line="240" w:lineRule="auto"/>
        <w:jc w:val="center"/>
        <w:rPr>
          <w:rFonts w:ascii="Times New Roman" w:hAnsi="Times New Roman"/>
          <w:b/>
          <w:sz w:val="24"/>
          <w:szCs w:val="24"/>
        </w:rPr>
      </w:pPr>
    </w:p>
    <w:p>
      <w:pPr>
        <w:pStyle w:val="Titolo1"/>
        <w:jc w:val="center"/>
      </w:pPr>
      <w:r>
        <w:rPr>
          <w:vertAlign w:val="superscript"/>
        </w:rPr>
        <w:t>1</w:t>
      </w:r>
      <w:r>
        <w:t>Università degli Studi di Milano, Dipartimento di Scienze Animali, Milano, Italy</w:t>
      </w:r>
    </w:p>
    <w:p>
      <w:pPr>
        <w:pStyle w:val="Titolo1"/>
        <w:jc w:val="center"/>
      </w:pPr>
      <w:r>
        <w:rPr>
          <w:vertAlign w:val="superscript"/>
        </w:rPr>
        <w:t>2</w:t>
      </w:r>
      <w:r>
        <w:t xml:space="preserve">Università degli Studi di Milano, </w:t>
      </w:r>
      <w:r>
        <w:rPr>
          <w:vertAlign w:val="superscript"/>
        </w:rPr>
        <w:t>2</w:t>
      </w:r>
      <w:r>
        <w:t>Dipartimento di Patologia Animale, Igiene e Sanità Pubblica Veterinaria, Milano, Italy</w:t>
      </w:r>
    </w:p>
    <w:p>
      <w:pPr>
        <w:pStyle w:val="Titolo1"/>
        <w:jc w:val="center"/>
      </w:pPr>
      <w:r>
        <w:rPr>
          <w:vertAlign w:val="superscript"/>
        </w:rPr>
        <w:t>3</w:t>
      </w:r>
      <w:r>
        <w:t>Centro Sperimentale del Latte S.p.A., Italy</w:t>
      </w:r>
    </w:p>
    <w:p>
      <w:pPr>
        <w:spacing w:after="0" w:line="240" w:lineRule="auto"/>
        <w:jc w:val="center"/>
        <w:rPr>
          <w:rFonts w:ascii="Times New Roman" w:hAnsi="Times New Roman"/>
          <w:sz w:val="24"/>
          <w:szCs w:val="24"/>
          <w:lang w:eastAsia="it-IT"/>
        </w:rPr>
      </w:pPr>
    </w:p>
    <w:p>
      <w:pPr>
        <w:spacing w:after="0" w:line="240" w:lineRule="auto"/>
        <w:jc w:val="center"/>
        <w:rPr>
          <w:lang w:val="en-US"/>
        </w:rPr>
      </w:pPr>
      <w:r>
        <w:rPr>
          <w:rFonts w:ascii="Times New Roman" w:hAnsi="Times New Roman"/>
          <w:i/>
          <w:sz w:val="24"/>
          <w:szCs w:val="24"/>
          <w:lang w:val="en-US" w:eastAsia="it-IT"/>
        </w:rPr>
        <w:t>Corresponding author</w:t>
      </w:r>
      <w:r>
        <w:rPr>
          <w:rFonts w:ascii="Times New Roman" w:hAnsi="Times New Roman"/>
          <w:sz w:val="24"/>
          <w:szCs w:val="24"/>
          <w:lang w:val="en-US" w:eastAsia="it-IT"/>
        </w:rPr>
        <w:t xml:space="preserve">: </w:t>
      </w:r>
      <w:r>
        <w:fldChar w:fldCharType="begin"/>
      </w:r>
      <w:r>
        <w:rPr>
          <w:lang w:val="en-US"/>
        </w:rPr>
        <w:instrText>HYPERLINK "mailto:ivan.toschi@unimi.it"</w:instrText>
      </w:r>
      <w:r>
        <w:fldChar w:fldCharType="separate"/>
      </w:r>
      <w:r>
        <w:rPr>
          <w:rStyle w:val="Collegamentoipertestuale"/>
          <w:rFonts w:ascii="Times New Roman" w:hAnsi="Times New Roman"/>
          <w:sz w:val="24"/>
          <w:szCs w:val="24"/>
          <w:lang w:val="en-US" w:eastAsia="it-IT"/>
        </w:rPr>
        <w:t>ivan.toschi@unimi.it</w:t>
      </w:r>
      <w:r>
        <w:fldChar w:fldCharType="end"/>
      </w:r>
    </w:p>
    <w:p>
      <w:pPr>
        <w:spacing w:after="0" w:line="240" w:lineRule="auto"/>
        <w:jc w:val="center"/>
        <w:rPr>
          <w:rFonts w:ascii="Times New Roman" w:hAnsi="Times New Roman"/>
          <w:sz w:val="24"/>
          <w:szCs w:val="24"/>
          <w:lang w:val="en-US" w:eastAsia="it-IT"/>
        </w:rPr>
      </w:pPr>
    </w:p>
    <w:p>
      <w:pPr>
        <w:spacing w:after="0" w:line="240" w:lineRule="auto"/>
        <w:jc w:val="center"/>
        <w:rPr>
          <w:rFonts w:ascii="Times New Roman" w:hAnsi="Times New Roman"/>
          <w:sz w:val="24"/>
          <w:szCs w:val="24"/>
          <w:lang w:val="en-US" w:eastAsia="it-IT"/>
        </w:rPr>
      </w:pPr>
      <w:r>
        <w:rPr>
          <w:rFonts w:ascii="Times New Roman" w:hAnsi="Times New Roman"/>
          <w:sz w:val="24"/>
          <w:szCs w:val="24"/>
          <w:lang w:val="en-US" w:eastAsia="it-IT"/>
        </w:rPr>
        <w:t xml:space="preserve">ABSTRACT </w:t>
      </w:r>
    </w:p>
    <w:p>
      <w:pPr>
        <w:spacing w:after="0" w:line="240" w:lineRule="auto"/>
        <w:jc w:val="center"/>
        <w:rPr>
          <w:rFonts w:ascii="Times New Roman" w:hAnsi="Times New Roman"/>
          <w:sz w:val="24"/>
          <w:szCs w:val="24"/>
          <w:lang w:val="en-US" w:eastAsia="it-IT"/>
        </w:rPr>
      </w:pPr>
    </w:p>
    <w:p>
      <w:pPr>
        <w:pStyle w:val="Titolo1"/>
        <w:jc w:val="both"/>
        <w:rPr>
          <w:szCs w:val="24"/>
          <w:lang w:val="en-US"/>
        </w:rPr>
      </w:pPr>
      <w:proofErr w:type="spellStart"/>
      <w:r>
        <w:rPr>
          <w:szCs w:val="24"/>
          <w:lang w:val="en-GB"/>
        </w:rPr>
        <w:t>Probiotics</w:t>
      </w:r>
      <w:proofErr w:type="spellEnd"/>
      <w:r>
        <w:rPr>
          <w:szCs w:val="24"/>
          <w:lang w:val="en-GB"/>
        </w:rPr>
        <w:t xml:space="preserve"> or direct-fed </w:t>
      </w:r>
      <w:proofErr w:type="spellStart"/>
      <w:r>
        <w:rPr>
          <w:szCs w:val="24"/>
          <w:lang w:val="en-GB"/>
        </w:rPr>
        <w:t>microbials</w:t>
      </w:r>
      <w:proofErr w:type="spellEnd"/>
      <w:r>
        <w:rPr>
          <w:szCs w:val="24"/>
          <w:lang w:val="en-GB"/>
        </w:rPr>
        <w:t xml:space="preserve"> are live microorganisms which have beneficial effect for the host through improvement of intestinal </w:t>
      </w:r>
      <w:proofErr w:type="spellStart"/>
      <w:r>
        <w:rPr>
          <w:szCs w:val="24"/>
          <w:lang w:val="en-GB"/>
        </w:rPr>
        <w:t>microflora</w:t>
      </w:r>
      <w:proofErr w:type="spellEnd"/>
      <w:r>
        <w:rPr>
          <w:szCs w:val="24"/>
          <w:lang w:val="en-GB"/>
        </w:rPr>
        <w:t xml:space="preserve">. In particular, Lactobacilli are commonly used as </w:t>
      </w:r>
      <w:proofErr w:type="spellStart"/>
      <w:r>
        <w:rPr>
          <w:szCs w:val="24"/>
          <w:lang w:val="en-GB"/>
        </w:rPr>
        <w:t>probiotics</w:t>
      </w:r>
      <w:proofErr w:type="spellEnd"/>
      <w:r>
        <w:rPr>
          <w:szCs w:val="24"/>
          <w:lang w:val="en-GB"/>
        </w:rPr>
        <w:t xml:space="preserve"> in poultry production. The aim of this study was to evaluate the effect of a mixture of </w:t>
      </w:r>
      <w:r>
        <w:rPr>
          <w:i/>
          <w:szCs w:val="24"/>
          <w:lang w:val="en-GB"/>
        </w:rPr>
        <w:t>L. acidophilus</w:t>
      </w:r>
      <w:r>
        <w:rPr>
          <w:szCs w:val="24"/>
          <w:lang w:val="en-GB"/>
        </w:rPr>
        <w:t xml:space="preserve"> and </w:t>
      </w:r>
      <w:r>
        <w:rPr>
          <w:i/>
          <w:szCs w:val="24"/>
          <w:lang w:val="en-GB"/>
        </w:rPr>
        <w:t xml:space="preserve">L. </w:t>
      </w:r>
      <w:proofErr w:type="spellStart"/>
      <w:r>
        <w:rPr>
          <w:i/>
          <w:szCs w:val="24"/>
          <w:lang w:val="en-GB"/>
        </w:rPr>
        <w:t>plantarum</w:t>
      </w:r>
      <w:proofErr w:type="spellEnd"/>
      <w:r>
        <w:rPr>
          <w:szCs w:val="24"/>
          <w:lang w:val="en-GB"/>
        </w:rPr>
        <w:t xml:space="preserve"> administered with drinking water on egg quality and layer performance. The trial, performed on two different farms, was conducted on two groups of 240 laying hens which were housed in pens and </w:t>
      </w:r>
      <w:r>
        <w:rPr>
          <w:szCs w:val="24"/>
          <w:lang w:val="en-US"/>
        </w:rPr>
        <w:t xml:space="preserve">fed </w:t>
      </w:r>
      <w:r>
        <w:rPr>
          <w:i/>
          <w:szCs w:val="24"/>
          <w:lang w:val="en-US"/>
        </w:rPr>
        <w:t xml:space="preserve">ad </w:t>
      </w:r>
      <w:proofErr w:type="spellStart"/>
      <w:r>
        <w:rPr>
          <w:i/>
          <w:szCs w:val="24"/>
          <w:lang w:val="en-US"/>
        </w:rPr>
        <w:t>libitum</w:t>
      </w:r>
      <w:proofErr w:type="spellEnd"/>
      <w:r>
        <w:rPr>
          <w:szCs w:val="24"/>
          <w:lang w:val="en-US"/>
        </w:rPr>
        <w:t xml:space="preserve"> the same commercial diet.</w:t>
      </w:r>
    </w:p>
    <w:p>
      <w:pPr>
        <w:spacing w:after="0" w:line="240" w:lineRule="auto"/>
        <w:jc w:val="both"/>
        <w:rPr>
          <w:rFonts w:ascii="Times New Roman" w:hAnsi="Times New Roman"/>
          <w:sz w:val="24"/>
          <w:szCs w:val="24"/>
          <w:lang w:val="en-GB" w:eastAsia="it-IT"/>
        </w:rPr>
      </w:pPr>
      <w:r>
        <w:rPr>
          <w:rFonts w:ascii="Times New Roman" w:hAnsi="Times New Roman"/>
          <w:sz w:val="24"/>
          <w:szCs w:val="24"/>
          <w:lang w:val="en-GB" w:eastAsia="it-IT"/>
        </w:rPr>
        <w:t xml:space="preserve">From 21 to 44 weeks of age, in each farm animals were divided into </w:t>
      </w:r>
      <w:r>
        <w:rPr>
          <w:rFonts w:ascii="Times New Roman" w:hAnsi="Times New Roman"/>
          <w:sz w:val="24"/>
          <w:szCs w:val="24"/>
          <w:lang w:val="en-GB"/>
        </w:rPr>
        <w:t>two</w:t>
      </w:r>
      <w:r>
        <w:rPr>
          <w:rFonts w:ascii="Times New Roman" w:hAnsi="Times New Roman"/>
          <w:sz w:val="24"/>
          <w:szCs w:val="24"/>
          <w:lang w:val="en-GB" w:eastAsia="it-IT"/>
        </w:rPr>
        <w:t xml:space="preserve"> groups: the hens of the first group received </w:t>
      </w:r>
      <w:r>
        <w:rPr>
          <w:rFonts w:ascii="Times New Roman" w:hAnsi="Times New Roman"/>
          <w:sz w:val="24"/>
          <w:szCs w:val="24"/>
          <w:lang w:val="en-US"/>
        </w:rPr>
        <w:t>water with the supplementation of 10</w:t>
      </w:r>
      <w:r>
        <w:rPr>
          <w:rFonts w:ascii="Times New Roman" w:hAnsi="Times New Roman"/>
          <w:sz w:val="24"/>
          <w:szCs w:val="24"/>
          <w:vertAlign w:val="superscript"/>
          <w:lang w:val="en-US"/>
        </w:rPr>
        <w:t>8</w:t>
      </w:r>
      <w:r>
        <w:rPr>
          <w:rFonts w:ascii="Times New Roman" w:hAnsi="Times New Roman"/>
          <w:sz w:val="24"/>
          <w:szCs w:val="24"/>
          <w:lang w:val="en-US"/>
        </w:rPr>
        <w:t xml:space="preserve"> CFU/animal/day of the </w:t>
      </w:r>
      <w:r>
        <w:rPr>
          <w:rFonts w:ascii="Times New Roman" w:hAnsi="Times New Roman"/>
          <w:sz w:val="24"/>
          <w:szCs w:val="24"/>
          <w:lang w:val="en-GB" w:eastAsia="it-IT"/>
        </w:rPr>
        <w:t xml:space="preserve">experimental mixture (Treatment = T), while animals of the other group received </w:t>
      </w:r>
      <w:r>
        <w:rPr>
          <w:rFonts w:ascii="Times New Roman" w:hAnsi="Times New Roman"/>
          <w:sz w:val="24"/>
          <w:szCs w:val="24"/>
          <w:lang w:val="en-US"/>
        </w:rPr>
        <w:t xml:space="preserve">water without any supplementation (Control = C). </w:t>
      </w:r>
      <w:r>
        <w:rPr>
          <w:rFonts w:ascii="Times New Roman" w:hAnsi="Times New Roman"/>
          <w:sz w:val="24"/>
          <w:szCs w:val="24"/>
          <w:lang w:val="en-GB" w:eastAsia="it-IT"/>
        </w:rPr>
        <w:t>Number and weight of eggs were recorded daily, while feed consumption and body weights of the animals were registered every week and monthly, respectively. At 25, 30, 35, 40 and 44 weeks of age, specific gravity of eggs, albumen quality (</w:t>
      </w:r>
      <w:proofErr w:type="spellStart"/>
      <w:r>
        <w:rPr>
          <w:rFonts w:ascii="Times New Roman" w:hAnsi="Times New Roman"/>
          <w:sz w:val="24"/>
          <w:szCs w:val="24"/>
          <w:lang w:val="en-GB" w:eastAsia="it-IT"/>
        </w:rPr>
        <w:t>Haugh</w:t>
      </w:r>
      <w:proofErr w:type="spellEnd"/>
      <w:r>
        <w:rPr>
          <w:rFonts w:ascii="Times New Roman" w:hAnsi="Times New Roman"/>
          <w:sz w:val="24"/>
          <w:szCs w:val="24"/>
          <w:lang w:val="en-GB" w:eastAsia="it-IT"/>
        </w:rPr>
        <w:t xml:space="preserve"> Units) and shell thickness were measured on 30 eggs/group.</w:t>
      </w:r>
    </w:p>
    <w:p>
      <w:pPr>
        <w:spacing w:after="0" w:line="240" w:lineRule="auto"/>
        <w:jc w:val="both"/>
        <w:rPr>
          <w:rFonts w:ascii="Times New Roman" w:hAnsi="Times New Roman"/>
          <w:sz w:val="24"/>
          <w:szCs w:val="24"/>
          <w:lang w:val="en-GB" w:eastAsia="it-IT"/>
        </w:rPr>
      </w:pPr>
      <w:r>
        <w:rPr>
          <w:rFonts w:ascii="Times New Roman" w:hAnsi="Times New Roman"/>
          <w:sz w:val="24"/>
          <w:szCs w:val="24"/>
          <w:lang w:val="en-US" w:eastAsia="it-IT"/>
        </w:rPr>
        <w:t xml:space="preserve">The supplementation of the blend did not affect body weight, daily feed intake and </w:t>
      </w:r>
      <w:r>
        <w:rPr>
          <w:rFonts w:ascii="Times New Roman" w:hAnsi="Times New Roman"/>
          <w:sz w:val="24"/>
          <w:szCs w:val="24"/>
          <w:lang w:val="en-GB" w:eastAsia="it-IT"/>
        </w:rPr>
        <w:t xml:space="preserve">feed conversion efficiency </w:t>
      </w:r>
      <w:r>
        <w:rPr>
          <w:rFonts w:ascii="Times New Roman" w:hAnsi="Times New Roman"/>
          <w:sz w:val="24"/>
          <w:szCs w:val="24"/>
          <w:lang w:val="en-US" w:eastAsia="it-IT"/>
        </w:rPr>
        <w:t xml:space="preserve">of the animals during the experimental period. </w:t>
      </w:r>
      <w:r>
        <w:rPr>
          <w:rFonts w:ascii="Times New Roman" w:hAnsi="Times New Roman"/>
          <w:sz w:val="24"/>
          <w:szCs w:val="24"/>
          <w:lang w:val="en-GB" w:eastAsia="it-IT"/>
        </w:rPr>
        <w:t xml:space="preserve">No significant difference was observed in egg production and egg mass of hens between the two groups. The effects of treatments on egg quality showed a higher specific gravity and </w:t>
      </w:r>
      <w:proofErr w:type="spellStart"/>
      <w:r>
        <w:rPr>
          <w:rFonts w:ascii="Times New Roman" w:hAnsi="Times New Roman"/>
          <w:sz w:val="24"/>
          <w:szCs w:val="24"/>
          <w:lang w:val="en-GB" w:eastAsia="it-IT"/>
        </w:rPr>
        <w:t>Haugh</w:t>
      </w:r>
      <w:proofErr w:type="spellEnd"/>
      <w:r>
        <w:rPr>
          <w:rFonts w:ascii="Times New Roman" w:hAnsi="Times New Roman"/>
          <w:sz w:val="24"/>
          <w:szCs w:val="24"/>
          <w:lang w:val="en-GB" w:eastAsia="it-IT"/>
        </w:rPr>
        <w:t xml:space="preserve"> Units of eggs in the T group in comparison to the C group. In conclusion, the supplementation of </w:t>
      </w:r>
      <w:r>
        <w:rPr>
          <w:rFonts w:ascii="Times New Roman" w:hAnsi="Times New Roman"/>
          <w:sz w:val="24"/>
          <w:szCs w:val="24"/>
          <w:lang w:val="en-GB"/>
        </w:rPr>
        <w:t xml:space="preserve">this mixture in drinking water </w:t>
      </w:r>
      <w:r>
        <w:rPr>
          <w:rFonts w:ascii="Times New Roman" w:hAnsi="Times New Roman"/>
          <w:sz w:val="24"/>
          <w:szCs w:val="24"/>
          <w:lang w:val="en-GB" w:eastAsia="it-IT"/>
        </w:rPr>
        <w:t>did not influence growth performance of hens, but seemed to improve some characteristics of egg quality.</w:t>
      </w:r>
    </w:p>
    <w:sectPr>
      <w:pgSz w:w="11906" w:h="16838"/>
      <w:pgMar w:top="1418" w:right="1134" w:bottom="1134" w:left="1134" w:header="709" w:footer="709" w:gutter="0"/>
      <w:lnNumType w:countBy="1" w:restart="continuous"/>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00000000" w:usb2="00000000"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drawingGridHorizontalSpacing w:val="110"/>
  <w:displayHorizontalDrawingGridEvery w:val="2"/>
  <w:characterSpacingControl w:val="doNotCompress"/>
  <w:compat/>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spacing w:after="200" w:line="276" w:lineRule="auto"/>
    </w:pPr>
    <w:rPr>
      <w:sz w:val="22"/>
      <w:szCs w:val="22"/>
      <w:lang w:eastAsia="en-US"/>
    </w:rPr>
  </w:style>
  <w:style w:type="paragraph" w:styleId="Titolo1">
    <w:name w:val="heading 1"/>
    <w:basedOn w:val="Normale"/>
    <w:next w:val="Normale"/>
    <w:link w:val="Titolo1Carattere"/>
    <w:qFormat/>
    <w:pPr>
      <w:keepNext/>
      <w:spacing w:after="0" w:line="240" w:lineRule="auto"/>
      <w:outlineLvl w:val="0"/>
    </w:pPr>
    <w:rPr>
      <w:rFonts w:ascii="Times New Roman" w:eastAsia="Times New Roman" w:hAnsi="Times New Roman"/>
      <w:sz w:val="24"/>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Pr>
      <w:rFonts w:ascii="Times New Roman" w:eastAsia="Times New Roman" w:hAnsi="Times New Roman"/>
      <w:sz w:val="24"/>
    </w:rPr>
  </w:style>
  <w:style w:type="character" w:styleId="Collegamentoipertestuale">
    <w:name w:val="Hyperlink"/>
    <w:basedOn w:val="Carpredefinitoparagrafo"/>
    <w:semiHidden/>
    <w:rPr>
      <w:color w:val="0000FF"/>
      <w:u w:val="single"/>
    </w:rPr>
  </w:style>
  <w:style w:type="character" w:styleId="Numeroriga">
    <w:name w:val="line number"/>
    <w:basedOn w:val="Carpredefinitoparagrafo"/>
    <w:uiPriority w:val="99"/>
    <w:semiHidden/>
    <w:unhideWhenUsed/>
  </w:style>
  <w:style w:type="character" w:styleId="Rimandocommento">
    <w:name w:val="annotation reference"/>
    <w:basedOn w:val="Carpredefinitoparagrafo"/>
    <w:semiHidden/>
    <w:rPr>
      <w:sz w:val="16"/>
      <w:szCs w:val="16"/>
    </w:rPr>
  </w:style>
  <w:style w:type="paragraph" w:styleId="Testocommento">
    <w:name w:val="annotation text"/>
    <w:basedOn w:val="Normale"/>
    <w:semiHidden/>
    <w:rPr>
      <w:sz w:val="20"/>
      <w:szCs w:val="20"/>
    </w:rPr>
  </w:style>
  <w:style w:type="paragraph" w:styleId="Soggettocommento">
    <w:name w:val="annotation subject"/>
    <w:basedOn w:val="Testocommento"/>
    <w:next w:val="Testocommento"/>
    <w:semiHidden/>
    <w:rPr>
      <w:b/>
      <w:bCs/>
    </w:rPr>
  </w:style>
  <w:style w:type="paragraph" w:styleId="Testofumetto">
    <w:name w:val="Balloon Text"/>
    <w:basedOn w:val="Normale"/>
    <w:semiHidden/>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4D1E80-E89B-4CBD-9C03-47B3F62469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Pages>
  <Words>341</Words>
  <Characters>1944</Characters>
  <Application>Microsoft Office Word</Application>
  <DocSecurity>0</DocSecurity>
  <Lines>16</Lines>
  <Paragraphs>4</Paragraphs>
  <ScaleCrop>false</ScaleCrop>
  <HeadingPairs>
    <vt:vector size="2" baseType="variant">
      <vt:variant>
        <vt:lpstr>Titolo</vt:lpstr>
      </vt:variant>
      <vt:variant>
        <vt:i4>1</vt:i4>
      </vt:variant>
    </vt:vector>
  </HeadingPairs>
  <TitlesOfParts>
    <vt:vector size="1" baseType="lpstr">
      <vt:lpstr>Evaluation of polymorphism in rabbit FAS and C-KIT genes as a tool for the study of male fertility</vt:lpstr>
    </vt:vector>
  </TitlesOfParts>
  <Company/>
  <LinksUpToDate>false</LinksUpToDate>
  <CharactersWithSpaces>2281</CharactersWithSpaces>
  <SharedDoc>false</SharedDoc>
  <HLinks>
    <vt:vector size="6" baseType="variant">
      <vt:variant>
        <vt:i4>524415</vt:i4>
      </vt:variant>
      <vt:variant>
        <vt:i4>0</vt:i4>
      </vt:variant>
      <vt:variant>
        <vt:i4>0</vt:i4>
      </vt:variant>
      <vt:variant>
        <vt:i4>5</vt:i4>
      </vt:variant>
      <vt:variant>
        <vt:lpwstr>mailto:daniela.meggiolaro@unimi.it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Evaluation of polymorphism in rabbit FAS and C-KIT genes as a tool for the study of male fertility</dc:title>
  <dc:creator>Utente Windows</dc:creator>
  <cp:lastModifiedBy>--</cp:lastModifiedBy>
  <cp:revision>4</cp:revision>
  <cp:lastPrinted>2009-01-14T12:15:00Z</cp:lastPrinted>
  <dcterms:created xsi:type="dcterms:W3CDTF">2011-01-18T07:18:00Z</dcterms:created>
  <dcterms:modified xsi:type="dcterms:W3CDTF">2011-08-03T10:33:00Z</dcterms:modified>
</cp:coreProperties>
</file>