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AB3" w:rsidRPr="007263A7" w:rsidRDefault="00357AB3" w:rsidP="00511DA4">
      <w:pPr>
        <w:jc w:val="center"/>
        <w:rPr>
          <w:rFonts w:ascii="Times New Roman" w:hAnsi="Times New Roman" w:cs="Times New Roman"/>
          <w:b/>
          <w:bCs/>
        </w:rPr>
      </w:pPr>
      <w:r w:rsidRPr="007263A7">
        <w:rPr>
          <w:rFonts w:ascii="Times New Roman" w:hAnsi="Times New Roman" w:cs="Times New Roman"/>
          <w:b/>
          <w:bCs/>
          <w:i/>
          <w:iCs/>
        </w:rPr>
        <w:t>ABOLITIO CRIMINIS</w:t>
      </w:r>
      <w:r w:rsidRPr="007263A7">
        <w:rPr>
          <w:rFonts w:ascii="Times New Roman" w:hAnsi="Times New Roman" w:cs="Times New Roman"/>
          <w:b/>
          <w:bCs/>
        </w:rPr>
        <w:t xml:space="preserve"> E SUCCESSIONE DI NORME “INTEGRATRICI” NELLA RECENTE GIURISPRUDENZA DELLE SEZIONI UNITE DELLA CORTE DI CASSAZIONE</w:t>
      </w:r>
      <w:r w:rsidRPr="00194F95">
        <w:rPr>
          <w:rStyle w:val="FootnoteReference"/>
          <w:rFonts w:ascii="Times New Roman" w:hAnsi="Times New Roman" w:cs="Times New Roman"/>
        </w:rPr>
        <w:footnoteReference w:id="2"/>
      </w:r>
    </w:p>
    <w:p w:rsidR="00357AB3" w:rsidRDefault="00357AB3" w:rsidP="00511DA4">
      <w:pPr>
        <w:jc w:val="center"/>
        <w:rPr>
          <w:rFonts w:ascii="Times New Roman" w:hAnsi="Times New Roman" w:cs="Times New Roman"/>
        </w:rPr>
      </w:pPr>
    </w:p>
    <w:p w:rsidR="00357AB3" w:rsidRPr="007263A7" w:rsidRDefault="00357AB3" w:rsidP="00511DA4">
      <w:pPr>
        <w:jc w:val="center"/>
        <w:rPr>
          <w:rFonts w:ascii="Times New Roman" w:hAnsi="Times New Roman" w:cs="Times New Roman"/>
        </w:rPr>
      </w:pPr>
      <w:r w:rsidRPr="007263A7">
        <w:rPr>
          <w:rFonts w:ascii="Times New Roman" w:hAnsi="Times New Roman" w:cs="Times New Roman"/>
        </w:rPr>
        <w:t>di Gian Luigi Gatta</w:t>
      </w:r>
    </w:p>
    <w:p w:rsidR="00357AB3" w:rsidRDefault="00357AB3" w:rsidP="00511DA4">
      <w:pPr>
        <w:jc w:val="center"/>
        <w:rPr>
          <w:rFonts w:ascii="Times New Roman" w:hAnsi="Times New Roman" w:cs="Times New Roman"/>
        </w:rPr>
      </w:pPr>
      <w:r w:rsidRPr="007263A7">
        <w:rPr>
          <w:rFonts w:ascii="Times New Roman" w:hAnsi="Times New Roman" w:cs="Times New Roman"/>
        </w:rPr>
        <w:t>Ricercatore di diritto penale</w:t>
      </w:r>
      <w:r>
        <w:rPr>
          <w:rFonts w:ascii="Times New Roman" w:hAnsi="Times New Roman" w:cs="Times New Roman"/>
        </w:rPr>
        <w:t>.</w:t>
      </w:r>
      <w:r w:rsidRPr="007263A7">
        <w:rPr>
          <w:rFonts w:ascii="Times New Roman" w:hAnsi="Times New Roman" w:cs="Times New Roman"/>
        </w:rPr>
        <w:t xml:space="preserve"> Università degli Studi di Milano</w:t>
      </w:r>
    </w:p>
    <w:p w:rsidR="00357AB3" w:rsidRDefault="00357AB3" w:rsidP="008D5F77">
      <w:pPr>
        <w:jc w:val="both"/>
        <w:rPr>
          <w:rFonts w:ascii="Times New Roman" w:hAnsi="Times New Roman" w:cs="Times New Roman"/>
        </w:rPr>
      </w:pPr>
    </w:p>
    <w:p w:rsidR="00357AB3" w:rsidRPr="00B47355" w:rsidRDefault="00357AB3" w:rsidP="008D5F77">
      <w:pPr>
        <w:jc w:val="both"/>
        <w:rPr>
          <w:rFonts w:ascii="Times New Roman" w:hAnsi="Times New Roman" w:cs="Times New Roman"/>
          <w:i/>
          <w:iCs/>
        </w:rPr>
      </w:pPr>
      <w:r w:rsidRPr="00B47355">
        <w:rPr>
          <w:rFonts w:ascii="Times New Roman" w:hAnsi="Times New Roman" w:cs="Times New Roman"/>
          <w:i/>
          <w:iCs/>
        </w:rPr>
        <w:t xml:space="preserve">Importanti indicazioni per la soluzione dell’annoso e controverso problema </w:t>
      </w:r>
      <w:r>
        <w:rPr>
          <w:rFonts w:ascii="Times New Roman" w:hAnsi="Times New Roman" w:cs="Times New Roman"/>
          <w:i/>
          <w:iCs/>
        </w:rPr>
        <w:t>dell’</w:t>
      </w:r>
      <w:r w:rsidRPr="00897FA9">
        <w:rPr>
          <w:rFonts w:ascii="Times New Roman" w:hAnsi="Times New Roman" w:cs="Times New Roman"/>
        </w:rPr>
        <w:t xml:space="preserve">abolitio criminis </w:t>
      </w:r>
      <w:r>
        <w:rPr>
          <w:rFonts w:ascii="Times New Roman" w:hAnsi="Times New Roman" w:cs="Times New Roman"/>
          <w:i/>
          <w:iCs/>
        </w:rPr>
        <w:t xml:space="preserve">come conseguenza della </w:t>
      </w:r>
      <w:r w:rsidRPr="00B47355">
        <w:rPr>
          <w:rFonts w:ascii="Times New Roman" w:hAnsi="Times New Roman" w:cs="Times New Roman"/>
          <w:i/>
          <w:iCs/>
        </w:rPr>
        <w:t>successione di norme “integratrici”</w:t>
      </w:r>
      <w:r>
        <w:rPr>
          <w:rFonts w:ascii="Times New Roman" w:hAnsi="Times New Roman" w:cs="Times New Roman"/>
          <w:i/>
          <w:iCs/>
        </w:rPr>
        <w:t xml:space="preserve"> (c.d. modifiche mediate) provengono da tre sentenze delle Sezioni Unite della Cassazione, pronunciate tra il 2007 e il 2009 (sentenze Magera, Niccoli e Rizzoli). Uno sguardo congiunto alle tre sentenze consente di individuare un filo comune, rappresentato dall’adozione del medesimo criterio di accertamento dell’</w:t>
      </w:r>
      <w:r w:rsidRPr="0019593C">
        <w:rPr>
          <w:rFonts w:ascii="Times New Roman" w:hAnsi="Times New Roman" w:cs="Times New Roman"/>
        </w:rPr>
        <w:t>abolitio criminis</w:t>
      </w:r>
      <w:r>
        <w:rPr>
          <w:rFonts w:ascii="Times New Roman" w:hAnsi="Times New Roman" w:cs="Times New Roman"/>
          <w:i/>
          <w:iCs/>
        </w:rPr>
        <w:t>: il ‘criterio strutturale’, già accolto dalle S.U. sul terreno delle c.d. modifiche immediate (sentenza Giordano del 2003). Decisivo è dunque distinguere tra norme integratrici, in grado modificandosi di incidere sulla fattispecie legale astratta, e norme non integratrici, che tale capacità non hanno.</w:t>
      </w:r>
    </w:p>
    <w:p w:rsidR="00357AB3" w:rsidRDefault="00357AB3" w:rsidP="008D5F77">
      <w:pPr>
        <w:jc w:val="both"/>
        <w:rPr>
          <w:rFonts w:ascii="Times New Roman" w:hAnsi="Times New Roman" w:cs="Times New Roman"/>
        </w:rPr>
      </w:pPr>
    </w:p>
    <w:p w:rsidR="00357AB3" w:rsidRPr="007263A7" w:rsidRDefault="00357AB3" w:rsidP="008D5F77">
      <w:pPr>
        <w:ind w:left="709" w:hanging="709"/>
        <w:jc w:val="both"/>
        <w:rPr>
          <w:rFonts w:ascii="Times New Roman" w:hAnsi="Times New Roman" w:cs="Times New Roman"/>
        </w:rPr>
      </w:pPr>
      <w:r w:rsidRPr="008D5F77">
        <w:rPr>
          <w:rFonts w:ascii="Times New Roman" w:hAnsi="Times New Roman" w:cs="Times New Roman"/>
          <w:smallCaps/>
        </w:rPr>
        <w:t>Sommario</w:t>
      </w:r>
      <w:r>
        <w:rPr>
          <w:rFonts w:ascii="Times New Roman" w:hAnsi="Times New Roman" w:cs="Times New Roman"/>
        </w:rPr>
        <w:t xml:space="preserve">: 1. </w:t>
      </w:r>
      <w:r w:rsidRPr="008D5F77">
        <w:rPr>
          <w:rFonts w:ascii="Times New Roman" w:hAnsi="Times New Roman" w:cs="Times New Roman"/>
          <w:i/>
          <w:iCs/>
        </w:rPr>
        <w:t>Abolitio criminis</w:t>
      </w:r>
      <w:r>
        <w:rPr>
          <w:rFonts w:ascii="Times New Roman" w:hAnsi="Times New Roman" w:cs="Times New Roman"/>
        </w:rPr>
        <w:t xml:space="preserve"> e successione di norme “integratrici”: problema e panorama della casistica giurisprudenziale. – 2. Soluzione del problema in tre recenti pronunce delle Sezioni Unite. – 3. Le sentenze Magera (2007), Niccoli (2008) e Rizzoli (2009). – 4. Il filo comune alle tre sentenze: l’adozione del ‘criterio strutturale’ per l’accertamento dell’</w:t>
      </w:r>
      <w:r w:rsidRPr="00B47355">
        <w:rPr>
          <w:rFonts w:ascii="Times New Roman" w:hAnsi="Times New Roman" w:cs="Times New Roman"/>
          <w:i/>
          <w:iCs/>
        </w:rPr>
        <w:t>abolitio criminis</w:t>
      </w:r>
      <w:r>
        <w:rPr>
          <w:rFonts w:ascii="Times New Roman" w:hAnsi="Times New Roman" w:cs="Times New Roman"/>
        </w:rPr>
        <w:t>. –  5. Soluzione, alla luce del ‘criterio strutturale’, dei diversi casi affrontati dalle S.U. – 6. Considerazioni conclusive.</w:t>
      </w:r>
    </w:p>
    <w:p w:rsidR="00357AB3" w:rsidRDefault="00357AB3" w:rsidP="00487871">
      <w:pPr>
        <w:jc w:val="both"/>
        <w:rPr>
          <w:rFonts w:ascii="Times New Roman" w:hAnsi="Times New Roman" w:cs="Times New Roman"/>
          <w:b/>
          <w:bCs/>
        </w:rPr>
      </w:pPr>
    </w:p>
    <w:p w:rsidR="00357AB3" w:rsidRDefault="00357AB3" w:rsidP="00487871">
      <w:pPr>
        <w:numPr>
          <w:ilvl w:val="0"/>
          <w:numId w:val="1"/>
        </w:numPr>
        <w:jc w:val="both"/>
        <w:rPr>
          <w:rFonts w:ascii="Times New Roman" w:hAnsi="Times New Roman" w:cs="Times New Roman"/>
          <w:b/>
          <w:bCs/>
        </w:rPr>
      </w:pPr>
      <w:r w:rsidRPr="00487871">
        <w:rPr>
          <w:rFonts w:ascii="Times New Roman" w:hAnsi="Times New Roman" w:cs="Times New Roman"/>
          <w:b/>
          <w:bCs/>
          <w:i/>
          <w:iCs/>
        </w:rPr>
        <w:t>Abolitio criminis</w:t>
      </w:r>
      <w:r w:rsidRPr="00487871">
        <w:rPr>
          <w:rFonts w:ascii="Times New Roman" w:hAnsi="Times New Roman" w:cs="Times New Roman"/>
          <w:b/>
          <w:bCs/>
        </w:rPr>
        <w:t xml:space="preserve"> e successione di norme “integratrici”</w:t>
      </w:r>
      <w:r>
        <w:rPr>
          <w:rFonts w:ascii="Times New Roman" w:hAnsi="Times New Roman" w:cs="Times New Roman"/>
          <w:b/>
          <w:bCs/>
        </w:rPr>
        <w:t xml:space="preserve">: problema e panorama della casistica giurisprudenziale. </w:t>
      </w:r>
    </w:p>
    <w:p w:rsidR="00357AB3" w:rsidRDefault="00357AB3" w:rsidP="007263A7">
      <w:pPr>
        <w:spacing w:after="0" w:line="360" w:lineRule="auto"/>
        <w:ind w:firstLine="709"/>
        <w:jc w:val="both"/>
        <w:rPr>
          <w:rFonts w:ascii="Times New Roman" w:hAnsi="Times New Roman" w:cs="Times New Roman"/>
        </w:rPr>
      </w:pPr>
      <w:r w:rsidRPr="007263A7">
        <w:rPr>
          <w:rFonts w:ascii="Times New Roman" w:hAnsi="Times New Roman" w:cs="Times New Roman"/>
        </w:rPr>
        <w:t>Può l’</w:t>
      </w:r>
      <w:r w:rsidRPr="007263A7">
        <w:rPr>
          <w:rFonts w:ascii="Times New Roman" w:hAnsi="Times New Roman" w:cs="Times New Roman"/>
          <w:i/>
          <w:iCs/>
        </w:rPr>
        <w:t xml:space="preserve">abolitio criminis </w:t>
      </w:r>
      <w:r w:rsidRPr="007263A7">
        <w:rPr>
          <w:rFonts w:ascii="Times New Roman" w:hAnsi="Times New Roman" w:cs="Times New Roman"/>
        </w:rPr>
        <w:t xml:space="preserve">essere conseguenza di modifiche di norme </w:t>
      </w:r>
      <w:r w:rsidRPr="007263A7">
        <w:rPr>
          <w:rFonts w:ascii="Times New Roman" w:hAnsi="Times New Roman" w:cs="Times New Roman"/>
          <w:i/>
          <w:iCs/>
        </w:rPr>
        <w:t>diverse</w:t>
      </w:r>
      <w:r w:rsidRPr="007263A7">
        <w:rPr>
          <w:rFonts w:ascii="Times New Roman" w:hAnsi="Times New Roman" w:cs="Times New Roman"/>
        </w:rPr>
        <w:t xml:space="preserve"> dalla norma incriminatrice, in vario modo richiamate a sua (reale o apparente) integrazione? E’ uno degli interrogativi più controversi del diritto penale intertemporale, con il quale la prassi si confronta di frequente in un </w:t>
      </w:r>
      <w:r>
        <w:rPr>
          <w:rFonts w:ascii="Times New Roman" w:hAnsi="Times New Roman" w:cs="Times New Roman"/>
        </w:rPr>
        <w:t>cospicuo ed</w:t>
      </w:r>
      <w:r w:rsidRPr="007263A7">
        <w:rPr>
          <w:rFonts w:ascii="Times New Roman" w:hAnsi="Times New Roman" w:cs="Times New Roman"/>
        </w:rPr>
        <w:t xml:space="preserve"> eterogeneo numero di casi</w:t>
      </w:r>
      <w:r>
        <w:rPr>
          <w:rStyle w:val="FootnoteReference"/>
          <w:rFonts w:ascii="Times New Roman" w:hAnsi="Times New Roman" w:cs="Times New Roman"/>
        </w:rPr>
        <w:footnoteReference w:id="3"/>
      </w:r>
      <w:r w:rsidRPr="007263A7">
        <w:rPr>
          <w:rFonts w:ascii="Times New Roman" w:hAnsi="Times New Roman" w:cs="Times New Roman"/>
        </w:rPr>
        <w:t>. Ci si chiede</w:t>
      </w:r>
      <w:r>
        <w:rPr>
          <w:rFonts w:ascii="Times New Roman" w:hAnsi="Times New Roman" w:cs="Times New Roman"/>
        </w:rPr>
        <w:t>, ad esempio:</w:t>
      </w:r>
    </w:p>
    <w:p w:rsidR="00357AB3" w:rsidRDefault="00357AB3" w:rsidP="007263A7">
      <w:pPr>
        <w:spacing w:after="0" w:line="360" w:lineRule="auto"/>
        <w:ind w:firstLine="709"/>
        <w:jc w:val="both"/>
        <w:rPr>
          <w:rFonts w:ascii="Times New Roman" w:hAnsi="Times New Roman" w:cs="Times New Roman"/>
        </w:rPr>
      </w:pPr>
      <w:r w:rsidRPr="006370E7">
        <w:rPr>
          <w:rFonts w:ascii="Times New Roman" w:hAnsi="Times New Roman" w:cs="Times New Roman"/>
          <w:i/>
          <w:iCs/>
        </w:rPr>
        <w:t>a)</w:t>
      </w:r>
      <w:r>
        <w:rPr>
          <w:rFonts w:ascii="Times New Roman" w:hAnsi="Times New Roman" w:cs="Times New Roman"/>
        </w:rPr>
        <w:t xml:space="preserve"> – </w:t>
      </w:r>
      <w:r w:rsidRPr="0076380F">
        <w:rPr>
          <w:rFonts w:ascii="Times New Roman" w:hAnsi="Times New Roman" w:cs="Times New Roman"/>
          <w:b/>
          <w:bCs/>
        </w:rPr>
        <w:t xml:space="preserve">ipotesi di modifica di norme </w:t>
      </w:r>
      <w:r w:rsidRPr="0076380F">
        <w:rPr>
          <w:rFonts w:ascii="Times New Roman" w:hAnsi="Times New Roman" w:cs="Times New Roman"/>
          <w:b/>
          <w:bCs/>
          <w:i/>
          <w:iCs/>
        </w:rPr>
        <w:t>penali</w:t>
      </w:r>
      <w:r w:rsidRPr="0076380F">
        <w:rPr>
          <w:rFonts w:ascii="Times New Roman" w:hAnsi="Times New Roman" w:cs="Times New Roman"/>
          <w:b/>
          <w:bCs/>
        </w:rPr>
        <w:t xml:space="preserve"> richiamate da</w:t>
      </w:r>
      <w:r>
        <w:rPr>
          <w:rFonts w:ascii="Times New Roman" w:hAnsi="Times New Roman" w:cs="Times New Roman"/>
          <w:b/>
          <w:bCs/>
        </w:rPr>
        <w:t xml:space="preserve"> </w:t>
      </w:r>
      <w:r w:rsidRPr="003B1026">
        <w:rPr>
          <w:rFonts w:ascii="Times New Roman" w:hAnsi="Times New Roman" w:cs="Times New Roman"/>
          <w:b/>
          <w:bCs/>
          <w:i/>
          <w:iCs/>
        </w:rPr>
        <w:t>elementi normativi</w:t>
      </w:r>
      <w:r>
        <w:rPr>
          <w:rFonts w:ascii="Times New Roman" w:hAnsi="Times New Roman" w:cs="Times New Roman"/>
          <w:b/>
          <w:bCs/>
        </w:rPr>
        <w:t xml:space="preserve"> </w:t>
      </w:r>
      <w:r>
        <w:rPr>
          <w:rFonts w:ascii="Times New Roman" w:hAnsi="Times New Roman" w:cs="Times New Roman"/>
        </w:rPr>
        <w:t xml:space="preserve">–, </w:t>
      </w:r>
      <w:r w:rsidRPr="007263A7">
        <w:rPr>
          <w:rFonts w:ascii="Times New Roman" w:hAnsi="Times New Roman" w:cs="Times New Roman"/>
        </w:rPr>
        <w:t xml:space="preserve">se sia punibile la </w:t>
      </w:r>
      <w:r w:rsidRPr="00AE2F0B">
        <w:rPr>
          <w:rFonts w:ascii="Times New Roman" w:hAnsi="Times New Roman" w:cs="Times New Roman"/>
          <w:i/>
          <w:iCs/>
        </w:rPr>
        <w:t>calunnia</w:t>
      </w:r>
      <w:r w:rsidRPr="007263A7">
        <w:rPr>
          <w:rFonts w:ascii="Times New Roman" w:hAnsi="Times New Roman" w:cs="Times New Roman"/>
        </w:rPr>
        <w:t xml:space="preserve"> qualora il fatto oggetto dell’incolpazione cessi, per legge posteriore, dal costituire reato</w:t>
      </w:r>
      <w:r>
        <w:rPr>
          <w:rFonts w:ascii="Times New Roman" w:hAnsi="Times New Roman" w:cs="Times New Roman"/>
        </w:rPr>
        <w:t xml:space="preserve"> (è il caso-guida nella giurisprudenza della Cassazione, affrontato già nel Secondo dopoguerra)</w:t>
      </w:r>
      <w:r>
        <w:rPr>
          <w:rStyle w:val="FootnoteReference"/>
          <w:rFonts w:ascii="Times New Roman" w:hAnsi="Times New Roman" w:cs="Times New Roman"/>
        </w:rPr>
        <w:footnoteReference w:id="4"/>
      </w:r>
      <w:r>
        <w:rPr>
          <w:rFonts w:ascii="Times New Roman" w:hAnsi="Times New Roman" w:cs="Times New Roman"/>
        </w:rPr>
        <w:t xml:space="preserve">; il </w:t>
      </w:r>
      <w:r w:rsidRPr="00AE2F0B">
        <w:rPr>
          <w:rFonts w:ascii="Times New Roman" w:hAnsi="Times New Roman" w:cs="Times New Roman"/>
          <w:i/>
          <w:iCs/>
        </w:rPr>
        <w:t>favoreggiamento</w:t>
      </w:r>
      <w:r>
        <w:rPr>
          <w:rFonts w:ascii="Times New Roman" w:hAnsi="Times New Roman" w:cs="Times New Roman"/>
        </w:rPr>
        <w:t>, personale, se il reato favorito viene successivamente abolito</w:t>
      </w:r>
      <w:r>
        <w:rPr>
          <w:rStyle w:val="FootnoteReference"/>
          <w:rFonts w:ascii="Times New Roman" w:hAnsi="Times New Roman" w:cs="Times New Roman"/>
        </w:rPr>
        <w:footnoteReference w:id="5"/>
      </w:r>
      <w:r>
        <w:rPr>
          <w:rFonts w:ascii="Times New Roman" w:hAnsi="Times New Roman" w:cs="Times New Roman"/>
        </w:rPr>
        <w:t>; l’</w:t>
      </w:r>
      <w:r w:rsidRPr="00AE2F0B">
        <w:rPr>
          <w:rFonts w:ascii="Times New Roman" w:hAnsi="Times New Roman" w:cs="Times New Roman"/>
          <w:i/>
          <w:iCs/>
        </w:rPr>
        <w:t>associazione per delinquere</w:t>
      </w:r>
      <w:r>
        <w:rPr>
          <w:rFonts w:ascii="Times New Roman" w:hAnsi="Times New Roman" w:cs="Times New Roman"/>
        </w:rPr>
        <w:t>, se il delitto-scopo viene abolito dopo che l’associazione si è costituita per realizzarlo</w:t>
      </w:r>
      <w:r>
        <w:rPr>
          <w:rStyle w:val="FootnoteReference"/>
          <w:rFonts w:ascii="Times New Roman" w:hAnsi="Times New Roman" w:cs="Times New Roman"/>
        </w:rPr>
        <w:footnoteReference w:id="6"/>
      </w:r>
      <w:r>
        <w:rPr>
          <w:rFonts w:ascii="Times New Roman" w:hAnsi="Times New Roman" w:cs="Times New Roman"/>
        </w:rPr>
        <w:t xml:space="preserve">; la </w:t>
      </w:r>
      <w:r w:rsidRPr="00AE2F0B">
        <w:rPr>
          <w:rFonts w:ascii="Times New Roman" w:hAnsi="Times New Roman" w:cs="Times New Roman"/>
          <w:i/>
          <w:iCs/>
        </w:rPr>
        <w:t>ricettazione</w:t>
      </w:r>
      <w:r>
        <w:rPr>
          <w:rFonts w:ascii="Times New Roman" w:hAnsi="Times New Roman" w:cs="Times New Roman"/>
        </w:rPr>
        <w:t>, se dopo la commissione del fatto viene abolito il delitto presupposto dal quale provengono il denaro o le cose ricettate</w:t>
      </w:r>
      <w:r>
        <w:rPr>
          <w:rStyle w:val="FootnoteReference"/>
          <w:rFonts w:ascii="Times New Roman" w:hAnsi="Times New Roman" w:cs="Times New Roman"/>
        </w:rPr>
        <w:footnoteReference w:id="7"/>
      </w:r>
      <w:r>
        <w:rPr>
          <w:rFonts w:ascii="Times New Roman" w:hAnsi="Times New Roman" w:cs="Times New Roman"/>
        </w:rPr>
        <w:t>;</w:t>
      </w:r>
    </w:p>
    <w:p w:rsidR="00357AB3" w:rsidRDefault="00357AB3" w:rsidP="007263A7">
      <w:pPr>
        <w:spacing w:after="0" w:line="360" w:lineRule="auto"/>
        <w:ind w:firstLine="709"/>
        <w:jc w:val="both"/>
        <w:rPr>
          <w:rFonts w:ascii="Times New Roman" w:hAnsi="Times New Roman" w:cs="Times New Roman"/>
        </w:rPr>
      </w:pPr>
      <w:r w:rsidRPr="006370E7">
        <w:rPr>
          <w:rFonts w:ascii="Times New Roman" w:hAnsi="Times New Roman" w:cs="Times New Roman"/>
          <w:i/>
          <w:iCs/>
        </w:rPr>
        <w:t>b)</w:t>
      </w:r>
      <w:r>
        <w:rPr>
          <w:rFonts w:ascii="Times New Roman" w:hAnsi="Times New Roman" w:cs="Times New Roman"/>
        </w:rPr>
        <w:t xml:space="preserve"> – </w:t>
      </w:r>
      <w:r w:rsidRPr="0076380F">
        <w:rPr>
          <w:rFonts w:ascii="Times New Roman" w:hAnsi="Times New Roman" w:cs="Times New Roman"/>
          <w:b/>
          <w:bCs/>
        </w:rPr>
        <w:t xml:space="preserve">ipotesi di modifica di norme </w:t>
      </w:r>
      <w:r w:rsidRPr="0076380F">
        <w:rPr>
          <w:rFonts w:ascii="Times New Roman" w:hAnsi="Times New Roman" w:cs="Times New Roman"/>
          <w:b/>
          <w:bCs/>
          <w:i/>
          <w:iCs/>
        </w:rPr>
        <w:t>extrapenali</w:t>
      </w:r>
      <w:r w:rsidRPr="0076380F">
        <w:rPr>
          <w:rFonts w:ascii="Times New Roman" w:hAnsi="Times New Roman" w:cs="Times New Roman"/>
          <w:b/>
          <w:bCs/>
        </w:rPr>
        <w:t xml:space="preserve"> richiamate da</w:t>
      </w:r>
      <w:r>
        <w:rPr>
          <w:rFonts w:ascii="Times New Roman" w:hAnsi="Times New Roman" w:cs="Times New Roman"/>
          <w:b/>
          <w:bCs/>
        </w:rPr>
        <w:t xml:space="preserve"> </w:t>
      </w:r>
      <w:r w:rsidRPr="003B1026">
        <w:rPr>
          <w:rFonts w:ascii="Times New Roman" w:hAnsi="Times New Roman" w:cs="Times New Roman"/>
          <w:b/>
          <w:bCs/>
          <w:i/>
          <w:iCs/>
        </w:rPr>
        <w:t>elementi normativi</w:t>
      </w:r>
      <w:r>
        <w:rPr>
          <w:rFonts w:ascii="Times New Roman" w:hAnsi="Times New Roman" w:cs="Times New Roman"/>
          <w:b/>
          <w:bCs/>
        </w:rPr>
        <w:t xml:space="preserve"> </w:t>
      </w:r>
      <w:r>
        <w:rPr>
          <w:rFonts w:ascii="Times New Roman" w:hAnsi="Times New Roman" w:cs="Times New Roman"/>
        </w:rPr>
        <w:t xml:space="preserve">–, se sia punibile la </w:t>
      </w:r>
      <w:r w:rsidRPr="007E324F">
        <w:rPr>
          <w:rFonts w:ascii="Times New Roman" w:hAnsi="Times New Roman" w:cs="Times New Roman"/>
          <w:i/>
          <w:iCs/>
        </w:rPr>
        <w:t>contraffazione di monete</w:t>
      </w:r>
      <w:r>
        <w:rPr>
          <w:rFonts w:ascii="Times New Roman" w:hAnsi="Times New Roman" w:cs="Times New Roman"/>
        </w:rPr>
        <w:t>, qualora dopo la commissione del fatto la moneta contraffatta (ad es., la Lira) cessi dall’avere corso legale (in conseguenza dell’introduzione dell’Euro)</w:t>
      </w:r>
      <w:r>
        <w:rPr>
          <w:rStyle w:val="FootnoteReference"/>
          <w:rFonts w:ascii="Times New Roman" w:hAnsi="Times New Roman" w:cs="Times New Roman"/>
        </w:rPr>
        <w:footnoteReference w:id="8"/>
      </w:r>
      <w:r>
        <w:rPr>
          <w:rFonts w:ascii="Times New Roman" w:hAnsi="Times New Roman" w:cs="Times New Roman"/>
        </w:rPr>
        <w:t xml:space="preserve">; la </w:t>
      </w:r>
      <w:r w:rsidRPr="00774795">
        <w:rPr>
          <w:rFonts w:ascii="Times New Roman" w:hAnsi="Times New Roman" w:cs="Times New Roman"/>
          <w:i/>
          <w:iCs/>
        </w:rPr>
        <w:t>contraffazione di pubblici sigilli</w:t>
      </w:r>
      <w:r>
        <w:rPr>
          <w:rFonts w:ascii="Times New Roman" w:hAnsi="Times New Roman" w:cs="Times New Roman"/>
        </w:rPr>
        <w:t>, in caso di sopravvenuta ‘privatizzazione’ dell’ente il cui sigillo è stato contraffatto (es., l’ENEL)</w:t>
      </w:r>
      <w:r>
        <w:rPr>
          <w:rStyle w:val="FootnoteReference"/>
          <w:rFonts w:ascii="Times New Roman" w:hAnsi="Times New Roman" w:cs="Times New Roman"/>
        </w:rPr>
        <w:footnoteReference w:id="9"/>
      </w:r>
      <w:r>
        <w:rPr>
          <w:rFonts w:ascii="Times New Roman" w:hAnsi="Times New Roman" w:cs="Times New Roman"/>
        </w:rPr>
        <w:t xml:space="preserve">; il </w:t>
      </w:r>
      <w:r w:rsidRPr="007E324F">
        <w:rPr>
          <w:rFonts w:ascii="Times New Roman" w:hAnsi="Times New Roman" w:cs="Times New Roman"/>
          <w:i/>
          <w:iCs/>
        </w:rPr>
        <w:t>peculato</w:t>
      </w:r>
      <w:r>
        <w:rPr>
          <w:rFonts w:ascii="Times New Roman" w:hAnsi="Times New Roman" w:cs="Times New Roman"/>
        </w:rPr>
        <w:t xml:space="preserve">, la </w:t>
      </w:r>
      <w:r w:rsidRPr="007E324F">
        <w:rPr>
          <w:rFonts w:ascii="Times New Roman" w:hAnsi="Times New Roman" w:cs="Times New Roman"/>
          <w:i/>
          <w:iCs/>
        </w:rPr>
        <w:t>concussione</w:t>
      </w:r>
      <w:r>
        <w:rPr>
          <w:rFonts w:ascii="Times New Roman" w:hAnsi="Times New Roman" w:cs="Times New Roman"/>
        </w:rPr>
        <w:t xml:space="preserve">, la </w:t>
      </w:r>
      <w:r w:rsidRPr="007E324F">
        <w:rPr>
          <w:rFonts w:ascii="Times New Roman" w:hAnsi="Times New Roman" w:cs="Times New Roman"/>
          <w:i/>
          <w:iCs/>
        </w:rPr>
        <w:t>corruzione</w:t>
      </w:r>
      <w:r>
        <w:rPr>
          <w:rFonts w:ascii="Times New Roman" w:hAnsi="Times New Roman" w:cs="Times New Roman"/>
        </w:rPr>
        <w:t>, qualora dopo la commissione del fatto venga meno, in capo all’agente, la qualifica di pubblico ufficiale o di incaricato di pubblico servizio</w:t>
      </w:r>
      <w:r>
        <w:rPr>
          <w:rStyle w:val="FootnoteReference"/>
          <w:rFonts w:ascii="Times New Roman" w:hAnsi="Times New Roman" w:cs="Times New Roman"/>
        </w:rPr>
        <w:footnoteReference w:id="10"/>
      </w:r>
      <w:r>
        <w:rPr>
          <w:rFonts w:ascii="Times New Roman" w:hAnsi="Times New Roman" w:cs="Times New Roman"/>
        </w:rPr>
        <w:t xml:space="preserve">; </w:t>
      </w:r>
      <w:r w:rsidRPr="00774795">
        <w:rPr>
          <w:rFonts w:ascii="Times New Roman" w:hAnsi="Times New Roman" w:cs="Times New Roman"/>
          <w:i/>
          <w:iCs/>
        </w:rPr>
        <w:t>l’abuso d’ufficio</w:t>
      </w:r>
      <w:r>
        <w:rPr>
          <w:rFonts w:ascii="Times New Roman" w:hAnsi="Times New Roman" w:cs="Times New Roman"/>
        </w:rPr>
        <w:t>, se dopo la commissione del fatto vengono modificate le norme di legge o di regolamento che individuano i doveri d’ufficio</w:t>
      </w:r>
      <w:r>
        <w:rPr>
          <w:rStyle w:val="FootnoteReference"/>
          <w:rFonts w:ascii="Times New Roman" w:hAnsi="Times New Roman" w:cs="Times New Roman"/>
        </w:rPr>
        <w:footnoteReference w:id="11"/>
      </w:r>
      <w:r>
        <w:rPr>
          <w:rFonts w:ascii="Times New Roman" w:hAnsi="Times New Roman" w:cs="Times New Roman"/>
        </w:rPr>
        <w:t xml:space="preserve">; </w:t>
      </w:r>
      <w:r w:rsidRPr="00774795">
        <w:rPr>
          <w:rFonts w:ascii="Times New Roman" w:hAnsi="Times New Roman" w:cs="Times New Roman"/>
          <w:i/>
          <w:iCs/>
        </w:rPr>
        <w:t>l’esercizio abusivo della professione</w:t>
      </w:r>
      <w:r>
        <w:rPr>
          <w:rFonts w:ascii="Times New Roman" w:hAnsi="Times New Roman" w:cs="Times New Roman"/>
        </w:rPr>
        <w:t>, se sopravviene la modifica delle norme che qualificano come abusivo l’esercizio di una determinata professione</w:t>
      </w:r>
      <w:r>
        <w:rPr>
          <w:rStyle w:val="FootnoteReference"/>
          <w:rFonts w:ascii="Times New Roman" w:hAnsi="Times New Roman" w:cs="Times New Roman"/>
        </w:rPr>
        <w:footnoteReference w:id="12"/>
      </w:r>
      <w:r>
        <w:rPr>
          <w:rFonts w:ascii="Times New Roman" w:hAnsi="Times New Roman" w:cs="Times New Roman"/>
        </w:rPr>
        <w:t>; l’</w:t>
      </w:r>
      <w:r w:rsidRPr="007E324F">
        <w:rPr>
          <w:rFonts w:ascii="Times New Roman" w:hAnsi="Times New Roman" w:cs="Times New Roman"/>
          <w:i/>
          <w:iCs/>
        </w:rPr>
        <w:t>omicidio colposo</w:t>
      </w:r>
      <w:r>
        <w:rPr>
          <w:rFonts w:ascii="Times New Roman" w:hAnsi="Times New Roman" w:cs="Times New Roman"/>
        </w:rPr>
        <w:t xml:space="preserve">, o le </w:t>
      </w:r>
      <w:r w:rsidRPr="007E324F">
        <w:rPr>
          <w:rFonts w:ascii="Times New Roman" w:hAnsi="Times New Roman" w:cs="Times New Roman"/>
          <w:i/>
          <w:iCs/>
        </w:rPr>
        <w:t>lesioni personali colpose</w:t>
      </w:r>
      <w:r>
        <w:rPr>
          <w:rFonts w:ascii="Times New Roman" w:hAnsi="Times New Roman" w:cs="Times New Roman"/>
        </w:rPr>
        <w:t>, qualora dopo la commissione del fatto venga abrogata o modificata la regola cautelare violata dall’agente</w:t>
      </w:r>
      <w:r>
        <w:rPr>
          <w:rStyle w:val="FootnoteReference"/>
          <w:rFonts w:ascii="Times New Roman" w:hAnsi="Times New Roman" w:cs="Times New Roman"/>
        </w:rPr>
        <w:footnoteReference w:id="13"/>
      </w:r>
      <w:r>
        <w:rPr>
          <w:rFonts w:ascii="Times New Roman" w:hAnsi="Times New Roman" w:cs="Times New Roman"/>
        </w:rPr>
        <w:t xml:space="preserve"> oppure, in caso di reato omissivo improprio, qualora dopo quel momento venga meno in capo all’agente l’obbligo giuridico di impedire l’evento</w:t>
      </w:r>
      <w:r>
        <w:rPr>
          <w:rStyle w:val="FootnoteReference"/>
          <w:rFonts w:ascii="Times New Roman" w:hAnsi="Times New Roman" w:cs="Times New Roman"/>
        </w:rPr>
        <w:footnoteReference w:id="14"/>
      </w:r>
      <w:r>
        <w:rPr>
          <w:rFonts w:ascii="Times New Roman" w:hAnsi="Times New Roman" w:cs="Times New Roman"/>
        </w:rPr>
        <w:t>; la pubblicazione arbitraria di atti di un procedimento penale, qualora dopo la commissione del fatto vengano modificate le norme impositive del divieto di pubblicazione degli atti processuali</w:t>
      </w:r>
      <w:r>
        <w:rPr>
          <w:rStyle w:val="FootnoteReference"/>
          <w:rFonts w:ascii="Times New Roman" w:hAnsi="Times New Roman" w:cs="Times New Roman"/>
        </w:rPr>
        <w:footnoteReference w:id="15"/>
      </w:r>
      <w:r>
        <w:rPr>
          <w:rFonts w:ascii="Times New Roman" w:hAnsi="Times New Roman" w:cs="Times New Roman"/>
        </w:rPr>
        <w:t xml:space="preserve">; il </w:t>
      </w:r>
      <w:r w:rsidRPr="00774795">
        <w:rPr>
          <w:rFonts w:ascii="Times New Roman" w:hAnsi="Times New Roman" w:cs="Times New Roman"/>
          <w:i/>
          <w:iCs/>
        </w:rPr>
        <w:t>contrabbando</w:t>
      </w:r>
      <w:r>
        <w:rPr>
          <w:rFonts w:ascii="Times New Roman" w:hAnsi="Times New Roman" w:cs="Times New Roman"/>
        </w:rPr>
        <w:t>, se dopo la commissione del fatto viene abolito il diritto di confine (ad es., un dazio doganale) che l’agente ha omesso di pagare</w:t>
      </w:r>
      <w:r>
        <w:rPr>
          <w:rStyle w:val="FootnoteReference"/>
          <w:rFonts w:ascii="Times New Roman" w:hAnsi="Times New Roman" w:cs="Times New Roman"/>
        </w:rPr>
        <w:footnoteReference w:id="16"/>
      </w:r>
      <w:r>
        <w:rPr>
          <w:rFonts w:ascii="Times New Roman" w:hAnsi="Times New Roman" w:cs="Times New Roman"/>
        </w:rPr>
        <w:t xml:space="preserve">; i c.d. reati di </w:t>
      </w:r>
      <w:r w:rsidRPr="00774795">
        <w:rPr>
          <w:rFonts w:ascii="Times New Roman" w:hAnsi="Times New Roman" w:cs="Times New Roman"/>
          <w:i/>
          <w:iCs/>
        </w:rPr>
        <w:t>assenza dal servizio alle armi</w:t>
      </w:r>
      <w:r>
        <w:rPr>
          <w:rFonts w:ascii="Times New Roman" w:hAnsi="Times New Roman" w:cs="Times New Roman"/>
        </w:rPr>
        <w:t>, se dopo la loro commissione sopravviene (come è avvenuto a decorrere dal 1° gennaio 2005) la sospensione del servizio militare obbligatorio</w:t>
      </w:r>
      <w:r>
        <w:rPr>
          <w:rStyle w:val="FootnoteReference"/>
          <w:rFonts w:ascii="Times New Roman" w:hAnsi="Times New Roman" w:cs="Times New Roman"/>
        </w:rPr>
        <w:footnoteReference w:id="17"/>
      </w:r>
      <w:r>
        <w:rPr>
          <w:rFonts w:ascii="Times New Roman" w:hAnsi="Times New Roman" w:cs="Times New Roman"/>
        </w:rPr>
        <w:t xml:space="preserve">; il </w:t>
      </w:r>
      <w:r w:rsidRPr="00902188">
        <w:rPr>
          <w:rFonts w:ascii="Times New Roman" w:hAnsi="Times New Roman" w:cs="Times New Roman"/>
          <w:i/>
          <w:iCs/>
        </w:rPr>
        <w:t>favoreggiamento dell’immigrazione clandestina</w:t>
      </w:r>
      <w:r>
        <w:rPr>
          <w:rFonts w:ascii="Times New Roman" w:hAnsi="Times New Roman" w:cs="Times New Roman"/>
        </w:rPr>
        <w:t>, se dopo la commissione del fatto lo straniero del quale è stato favorito l’ingresso illegale nel nostro Paese cessa dall’essere extracomunitario, in conseguenza dell’adesione all’UE dello Stato di cui è cittadino (es., la Polonia)</w:t>
      </w:r>
      <w:r>
        <w:rPr>
          <w:rStyle w:val="FootnoteReference"/>
          <w:rFonts w:ascii="Times New Roman" w:hAnsi="Times New Roman" w:cs="Times New Roman"/>
        </w:rPr>
        <w:footnoteReference w:id="18"/>
      </w:r>
      <w:r>
        <w:rPr>
          <w:rFonts w:ascii="Times New Roman" w:hAnsi="Times New Roman" w:cs="Times New Roman"/>
        </w:rPr>
        <w:t>;</w:t>
      </w:r>
    </w:p>
    <w:p w:rsidR="00357AB3" w:rsidRDefault="00357AB3" w:rsidP="007263A7">
      <w:pPr>
        <w:spacing w:after="0" w:line="360" w:lineRule="auto"/>
        <w:ind w:firstLine="709"/>
        <w:jc w:val="both"/>
        <w:rPr>
          <w:rFonts w:ascii="Times New Roman" w:hAnsi="Times New Roman" w:cs="Times New Roman"/>
        </w:rPr>
      </w:pPr>
      <w:r w:rsidRPr="0076380F">
        <w:rPr>
          <w:rFonts w:ascii="Times New Roman" w:hAnsi="Times New Roman" w:cs="Times New Roman"/>
          <w:b/>
          <w:bCs/>
          <w:i/>
          <w:iCs/>
        </w:rPr>
        <w:t>c)</w:t>
      </w:r>
      <w:r w:rsidRPr="0076380F">
        <w:rPr>
          <w:rFonts w:ascii="Times New Roman" w:hAnsi="Times New Roman" w:cs="Times New Roman"/>
          <w:b/>
          <w:bCs/>
        </w:rPr>
        <w:t xml:space="preserve"> ipotesi di modifica di norme </w:t>
      </w:r>
      <w:r w:rsidRPr="0076380F">
        <w:rPr>
          <w:rFonts w:ascii="Times New Roman" w:hAnsi="Times New Roman" w:cs="Times New Roman"/>
          <w:b/>
          <w:bCs/>
          <w:i/>
          <w:iCs/>
        </w:rPr>
        <w:t>extragiuridiche</w:t>
      </w:r>
      <w:r w:rsidRPr="0076380F">
        <w:rPr>
          <w:rFonts w:ascii="Times New Roman" w:hAnsi="Times New Roman" w:cs="Times New Roman"/>
          <w:b/>
          <w:bCs/>
        </w:rPr>
        <w:t xml:space="preserve"> (o culturali) richiamate da</w:t>
      </w:r>
      <w:r>
        <w:rPr>
          <w:rFonts w:ascii="Times New Roman" w:hAnsi="Times New Roman" w:cs="Times New Roman"/>
          <w:b/>
          <w:bCs/>
        </w:rPr>
        <w:t xml:space="preserve"> </w:t>
      </w:r>
      <w:r w:rsidRPr="003B1026">
        <w:rPr>
          <w:rFonts w:ascii="Times New Roman" w:hAnsi="Times New Roman" w:cs="Times New Roman"/>
          <w:b/>
          <w:bCs/>
          <w:i/>
          <w:iCs/>
        </w:rPr>
        <w:t>elementi normativi</w:t>
      </w:r>
      <w:r>
        <w:rPr>
          <w:rFonts w:ascii="Times New Roman" w:hAnsi="Times New Roman" w:cs="Times New Roman"/>
        </w:rPr>
        <w:t xml:space="preserve"> –, se sono punibili gli </w:t>
      </w:r>
      <w:r w:rsidRPr="006370E7">
        <w:rPr>
          <w:rFonts w:ascii="Times New Roman" w:hAnsi="Times New Roman" w:cs="Times New Roman"/>
          <w:i/>
          <w:iCs/>
        </w:rPr>
        <w:t>atti osceni</w:t>
      </w:r>
      <w:r>
        <w:rPr>
          <w:rFonts w:ascii="Times New Roman" w:hAnsi="Times New Roman" w:cs="Times New Roman"/>
        </w:rPr>
        <w:t xml:space="preserve"> (ad es., la pratica del </w:t>
      </w:r>
      <w:r w:rsidRPr="006370E7">
        <w:rPr>
          <w:rFonts w:ascii="Times New Roman" w:hAnsi="Times New Roman" w:cs="Times New Roman"/>
          <w:i/>
          <w:iCs/>
        </w:rPr>
        <w:t>topless</w:t>
      </w:r>
      <w:r>
        <w:rPr>
          <w:rFonts w:ascii="Times New Roman" w:hAnsi="Times New Roman" w:cs="Times New Roman"/>
        </w:rPr>
        <w:t xml:space="preserve">), </w:t>
      </w:r>
      <w:r w:rsidRPr="003B1026">
        <w:rPr>
          <w:rFonts w:ascii="Times New Roman" w:hAnsi="Times New Roman" w:cs="Times New Roman"/>
        </w:rPr>
        <w:t xml:space="preserve">o </w:t>
      </w:r>
      <w:r w:rsidRPr="003B1026">
        <w:rPr>
          <w:rFonts w:ascii="Times New Roman" w:hAnsi="Times New Roman" w:cs="Times New Roman"/>
          <w:i/>
          <w:iCs/>
        </w:rPr>
        <w:t>le</w:t>
      </w:r>
      <w:r w:rsidRPr="006370E7">
        <w:rPr>
          <w:rFonts w:ascii="Times New Roman" w:hAnsi="Times New Roman" w:cs="Times New Roman"/>
          <w:i/>
          <w:iCs/>
        </w:rPr>
        <w:t xml:space="preserve"> pubblicazioni </w:t>
      </w:r>
      <w:r>
        <w:rPr>
          <w:rFonts w:ascii="Times New Roman" w:hAnsi="Times New Roman" w:cs="Times New Roman"/>
          <w:i/>
          <w:iCs/>
        </w:rPr>
        <w:t>e</w:t>
      </w:r>
      <w:r w:rsidRPr="006370E7">
        <w:rPr>
          <w:rFonts w:ascii="Times New Roman" w:hAnsi="Times New Roman" w:cs="Times New Roman"/>
          <w:i/>
          <w:iCs/>
        </w:rPr>
        <w:t xml:space="preserve"> gli spettacoli osceni</w:t>
      </w:r>
      <w:r>
        <w:rPr>
          <w:rFonts w:ascii="Times New Roman" w:hAnsi="Times New Roman" w:cs="Times New Roman"/>
        </w:rPr>
        <w:t xml:space="preserve"> (es., la pubblicazione di una rivista per adulti o la proiezione in pubblico del film </w:t>
      </w:r>
      <w:r w:rsidRPr="003B1026">
        <w:rPr>
          <w:rFonts w:ascii="Times New Roman" w:hAnsi="Times New Roman" w:cs="Times New Roman"/>
          <w:i/>
          <w:iCs/>
        </w:rPr>
        <w:t>Ultimo tango a Parigi</w:t>
      </w:r>
      <w:r>
        <w:rPr>
          <w:rFonts w:ascii="Times New Roman" w:hAnsi="Times New Roman" w:cs="Times New Roman"/>
        </w:rPr>
        <w:t>), se, dopo la commissione del fatto, un mutamento delle norme etico-sociali che individuano il comune sentimento del pudore ne fa venir meno il carattere osceno</w:t>
      </w:r>
      <w:r>
        <w:rPr>
          <w:rStyle w:val="FootnoteReference"/>
          <w:rFonts w:ascii="Times New Roman" w:hAnsi="Times New Roman" w:cs="Times New Roman"/>
        </w:rPr>
        <w:footnoteReference w:id="19"/>
      </w:r>
      <w:r>
        <w:rPr>
          <w:rFonts w:ascii="Times New Roman" w:hAnsi="Times New Roman" w:cs="Times New Roman"/>
        </w:rPr>
        <w:t>;</w:t>
      </w:r>
    </w:p>
    <w:p w:rsidR="00357AB3" w:rsidRDefault="00357AB3" w:rsidP="007263A7">
      <w:pPr>
        <w:spacing w:after="0" w:line="360" w:lineRule="auto"/>
        <w:ind w:firstLine="709"/>
        <w:jc w:val="both"/>
        <w:rPr>
          <w:rFonts w:ascii="Times New Roman" w:hAnsi="Times New Roman" w:cs="Times New Roman"/>
        </w:rPr>
      </w:pPr>
      <w:r w:rsidRPr="0076380F">
        <w:rPr>
          <w:rFonts w:ascii="Times New Roman" w:hAnsi="Times New Roman" w:cs="Times New Roman"/>
          <w:b/>
          <w:bCs/>
          <w:i/>
          <w:iCs/>
        </w:rPr>
        <w:t>d)</w:t>
      </w:r>
      <w:r w:rsidRPr="0076380F">
        <w:rPr>
          <w:rFonts w:ascii="Times New Roman" w:hAnsi="Times New Roman" w:cs="Times New Roman"/>
          <w:b/>
          <w:bCs/>
        </w:rPr>
        <w:t xml:space="preserve"> ipotesi di modifica di norme che ‘riempiono’ il precetto di </w:t>
      </w:r>
      <w:r w:rsidRPr="003B1026">
        <w:rPr>
          <w:rFonts w:ascii="Times New Roman" w:hAnsi="Times New Roman" w:cs="Times New Roman"/>
          <w:b/>
          <w:bCs/>
          <w:i/>
          <w:iCs/>
        </w:rPr>
        <w:t>‘norme penali in bianco’</w:t>
      </w:r>
      <w:r>
        <w:rPr>
          <w:rFonts w:ascii="Times New Roman" w:hAnsi="Times New Roman" w:cs="Times New Roman"/>
        </w:rPr>
        <w:t xml:space="preserve"> –, se sono punibili la </w:t>
      </w:r>
      <w:r w:rsidRPr="006370E7">
        <w:rPr>
          <w:rFonts w:ascii="Times New Roman" w:hAnsi="Times New Roman" w:cs="Times New Roman"/>
          <w:i/>
          <w:iCs/>
        </w:rPr>
        <w:t>produzione, il traffico o la detenzione di sostanze stupefacenti</w:t>
      </w:r>
      <w:r>
        <w:rPr>
          <w:rFonts w:ascii="Times New Roman" w:hAnsi="Times New Roman" w:cs="Times New Roman"/>
        </w:rPr>
        <w:t xml:space="preserve"> qualora, dopo la commissione del fatto, un decreto ministeriale escluda dall’elenco delle sostanze stupefacenti la sostanza oggetto di produzione, traffico o detenzione</w:t>
      </w:r>
      <w:r>
        <w:rPr>
          <w:rStyle w:val="FootnoteReference"/>
          <w:rFonts w:ascii="Times New Roman" w:hAnsi="Times New Roman" w:cs="Times New Roman"/>
        </w:rPr>
        <w:footnoteReference w:id="20"/>
      </w:r>
      <w:r>
        <w:rPr>
          <w:rFonts w:ascii="Times New Roman" w:hAnsi="Times New Roman" w:cs="Times New Roman"/>
        </w:rPr>
        <w:t xml:space="preserve">; </w:t>
      </w:r>
    </w:p>
    <w:p w:rsidR="00357AB3" w:rsidRDefault="00357AB3" w:rsidP="00EB4EF1">
      <w:pPr>
        <w:spacing w:after="0" w:line="360" w:lineRule="auto"/>
        <w:ind w:firstLine="709"/>
        <w:jc w:val="both"/>
        <w:rPr>
          <w:rFonts w:ascii="Times New Roman" w:hAnsi="Times New Roman" w:cs="Times New Roman"/>
        </w:rPr>
      </w:pPr>
      <w:r w:rsidRPr="0076380F">
        <w:rPr>
          <w:rFonts w:ascii="Times New Roman" w:hAnsi="Times New Roman" w:cs="Times New Roman"/>
          <w:b/>
          <w:bCs/>
          <w:i/>
          <w:iCs/>
        </w:rPr>
        <w:t>e)</w:t>
      </w:r>
      <w:r w:rsidRPr="0076380F">
        <w:rPr>
          <w:rFonts w:ascii="Times New Roman" w:hAnsi="Times New Roman" w:cs="Times New Roman"/>
          <w:b/>
          <w:bCs/>
        </w:rPr>
        <w:t xml:space="preserve"> ipotesi di modifica di </w:t>
      </w:r>
      <w:r w:rsidRPr="003B1026">
        <w:rPr>
          <w:rFonts w:ascii="Times New Roman" w:hAnsi="Times New Roman" w:cs="Times New Roman"/>
          <w:b/>
          <w:bCs/>
          <w:i/>
          <w:iCs/>
        </w:rPr>
        <w:t>norme definitorie</w:t>
      </w:r>
      <w:r>
        <w:rPr>
          <w:rFonts w:ascii="Times New Roman" w:hAnsi="Times New Roman" w:cs="Times New Roman"/>
        </w:rPr>
        <w:t xml:space="preserve"> –, se sono punibili i </w:t>
      </w:r>
      <w:r w:rsidRPr="006370E7">
        <w:rPr>
          <w:rFonts w:ascii="Times New Roman" w:hAnsi="Times New Roman" w:cs="Times New Roman"/>
          <w:i/>
          <w:iCs/>
        </w:rPr>
        <w:t>reati a danno di un «minore»</w:t>
      </w:r>
      <w:r>
        <w:rPr>
          <w:rFonts w:ascii="Times New Roman" w:hAnsi="Times New Roman" w:cs="Times New Roman"/>
        </w:rPr>
        <w:t xml:space="preserve"> (es., la circonvenzione di persone incapaci) qualora, come è avvenuto a seguito della riforma del diritto di famiglia del 1975, dopo la commissione del fatto muti la definizione legale della «maggiore età» (art. 2 c.c.: non più compimento del ventunesimo anno, bensì del diciottesimo) e la vittima cessi di conseguenza dall’essere un «minore» (perché al momento del fatto, commesso prima di quella riforma, aveva un età compresa tra i diciotto e i ventuno anni)</w:t>
      </w:r>
      <w:r>
        <w:rPr>
          <w:rStyle w:val="FootnoteReference"/>
          <w:rFonts w:ascii="Times New Roman" w:hAnsi="Times New Roman" w:cs="Times New Roman"/>
        </w:rPr>
        <w:footnoteReference w:id="21"/>
      </w:r>
      <w:r>
        <w:rPr>
          <w:rFonts w:ascii="Times New Roman" w:hAnsi="Times New Roman" w:cs="Times New Roman"/>
        </w:rPr>
        <w:t xml:space="preserve">; i </w:t>
      </w:r>
      <w:r w:rsidRPr="0076380F">
        <w:rPr>
          <w:rFonts w:ascii="Times New Roman" w:hAnsi="Times New Roman" w:cs="Times New Roman"/>
          <w:i/>
          <w:iCs/>
        </w:rPr>
        <w:t>reati in materia di rifiuti</w:t>
      </w:r>
      <w:r>
        <w:rPr>
          <w:rFonts w:ascii="Times New Roman" w:hAnsi="Times New Roman" w:cs="Times New Roman"/>
        </w:rPr>
        <w:t xml:space="preserve"> se, a seguito di una modifica in senso restrittivo della nozione di rifiuto (art. 183 d.lgs. n. 152/2006), l’oggetto materiale della condotta (ad es., di gestione abusiva o traffico illecito) cessa dall’essere un rifiuto</w:t>
      </w:r>
      <w:r>
        <w:rPr>
          <w:rStyle w:val="FootnoteReference"/>
          <w:rFonts w:ascii="Times New Roman" w:hAnsi="Times New Roman" w:cs="Times New Roman"/>
        </w:rPr>
        <w:footnoteReference w:id="22"/>
      </w:r>
      <w:r>
        <w:rPr>
          <w:rFonts w:ascii="Times New Roman" w:hAnsi="Times New Roman" w:cs="Times New Roman"/>
        </w:rPr>
        <w:t xml:space="preserve">; la </w:t>
      </w:r>
      <w:r w:rsidRPr="0076380F">
        <w:rPr>
          <w:rFonts w:ascii="Times New Roman" w:hAnsi="Times New Roman" w:cs="Times New Roman"/>
          <w:i/>
          <w:iCs/>
        </w:rPr>
        <w:t>bancarotta</w:t>
      </w:r>
      <w:r>
        <w:rPr>
          <w:rFonts w:ascii="Times New Roman" w:hAnsi="Times New Roman" w:cs="Times New Roman"/>
        </w:rPr>
        <w:t xml:space="preserve"> se, a seguito della modifica della definizione legale di «piccolo imprenditore» commerciale (art. 1 l. fall.), risulti piccolo imprenditore (e come tale escluso dalla dichiarazione di fallimento) chi non lo era al momento del fatto</w:t>
      </w:r>
      <w:r>
        <w:rPr>
          <w:rStyle w:val="FootnoteReference"/>
          <w:rFonts w:ascii="Times New Roman" w:hAnsi="Times New Roman" w:cs="Times New Roman"/>
        </w:rPr>
        <w:footnoteReference w:id="23"/>
      </w:r>
      <w:r>
        <w:rPr>
          <w:rFonts w:ascii="Times New Roman" w:hAnsi="Times New Roman" w:cs="Times New Roman"/>
        </w:rPr>
        <w:t>.</w:t>
      </w:r>
    </w:p>
    <w:p w:rsidR="00357AB3" w:rsidRDefault="00357AB3" w:rsidP="00EB4EF1">
      <w:pPr>
        <w:spacing w:after="0" w:line="360" w:lineRule="auto"/>
        <w:ind w:firstLine="709"/>
        <w:jc w:val="both"/>
        <w:rPr>
          <w:rFonts w:ascii="Times New Roman" w:hAnsi="Times New Roman" w:cs="Times New Roman"/>
        </w:rPr>
      </w:pPr>
    </w:p>
    <w:p w:rsidR="00357AB3" w:rsidRPr="00EB4EF1" w:rsidRDefault="00357AB3" w:rsidP="00EB4EF1">
      <w:pPr>
        <w:spacing w:after="0" w:line="360" w:lineRule="auto"/>
        <w:ind w:firstLine="709"/>
        <w:jc w:val="both"/>
        <w:rPr>
          <w:rFonts w:ascii="Times New Roman" w:hAnsi="Times New Roman" w:cs="Times New Roman"/>
          <w:b/>
          <w:bCs/>
        </w:rPr>
      </w:pPr>
      <w:r w:rsidRPr="00EB4EF1">
        <w:rPr>
          <w:rFonts w:ascii="Times New Roman" w:hAnsi="Times New Roman" w:cs="Times New Roman"/>
          <w:b/>
          <w:bCs/>
        </w:rPr>
        <w:t xml:space="preserve">2. </w:t>
      </w:r>
      <w:r>
        <w:rPr>
          <w:rFonts w:ascii="Times New Roman" w:hAnsi="Times New Roman" w:cs="Times New Roman"/>
          <w:b/>
          <w:bCs/>
        </w:rPr>
        <w:t>S</w:t>
      </w:r>
      <w:r w:rsidRPr="00EB4EF1">
        <w:rPr>
          <w:rFonts w:ascii="Times New Roman" w:hAnsi="Times New Roman" w:cs="Times New Roman"/>
          <w:b/>
          <w:bCs/>
        </w:rPr>
        <w:t>oluzione del problema in tre recenti pronunce delle Sezioni Unite.</w:t>
      </w:r>
    </w:p>
    <w:p w:rsidR="00357AB3" w:rsidRDefault="00357AB3" w:rsidP="002B4555">
      <w:pPr>
        <w:spacing w:after="0" w:line="360" w:lineRule="auto"/>
        <w:ind w:firstLine="709"/>
        <w:jc w:val="both"/>
        <w:rPr>
          <w:rFonts w:ascii="Times New Roman" w:hAnsi="Times New Roman" w:cs="Times New Roman"/>
          <w:b/>
          <w:bCs/>
        </w:rPr>
      </w:pPr>
    </w:p>
    <w:p w:rsidR="00357AB3" w:rsidRDefault="00357AB3" w:rsidP="003409BB">
      <w:pPr>
        <w:spacing w:after="0" w:line="360" w:lineRule="auto"/>
        <w:ind w:firstLine="709"/>
        <w:jc w:val="both"/>
        <w:rPr>
          <w:rFonts w:ascii="Times New Roman" w:hAnsi="Times New Roman" w:cs="Times New Roman"/>
        </w:rPr>
      </w:pPr>
      <w:r>
        <w:rPr>
          <w:rFonts w:ascii="Times New Roman" w:hAnsi="Times New Roman" w:cs="Times New Roman"/>
        </w:rPr>
        <w:t xml:space="preserve">Rispetto a una simile costellazione di casi – e folla di interrogativi – può dirsi, con una certa approssimazione, che la giurisprudenza, soprattutto di legittimità, tende generalmente ad </w:t>
      </w:r>
      <w:r w:rsidRPr="0028479E">
        <w:rPr>
          <w:rFonts w:ascii="Times New Roman" w:hAnsi="Times New Roman" w:cs="Times New Roman"/>
          <w:i/>
          <w:iCs/>
        </w:rPr>
        <w:t>escludere</w:t>
      </w:r>
      <w:r>
        <w:rPr>
          <w:rFonts w:ascii="Times New Roman" w:hAnsi="Times New Roman" w:cs="Times New Roman"/>
        </w:rPr>
        <w:t xml:space="preserve"> l’</w:t>
      </w:r>
      <w:r w:rsidRPr="00AB1342">
        <w:rPr>
          <w:rFonts w:ascii="Times New Roman" w:hAnsi="Times New Roman" w:cs="Times New Roman"/>
          <w:i/>
          <w:iCs/>
        </w:rPr>
        <w:t>abolitio criminis</w:t>
      </w:r>
      <w:r>
        <w:rPr>
          <w:rFonts w:ascii="Times New Roman" w:hAnsi="Times New Roman" w:cs="Times New Roman"/>
        </w:rPr>
        <w:t xml:space="preserve"> (in tal senso è ad es. da decenni consolidato l’orientamento della S.C. a proposito del caso-guida in tema di calunnia). Non mancano, però, decisioni di segno opposto (ad es., a proposito del caso dell’abolizione del delitto-scopo dell’associazione per delinquere) e si registra, come d’altra parte in dottrina</w:t>
      </w:r>
      <w:r>
        <w:rPr>
          <w:rStyle w:val="FootnoteReference"/>
          <w:rFonts w:ascii="Times New Roman" w:hAnsi="Times New Roman" w:cs="Times New Roman"/>
        </w:rPr>
        <w:footnoteReference w:id="24"/>
      </w:r>
      <w:r>
        <w:rPr>
          <w:rFonts w:ascii="Times New Roman" w:hAnsi="Times New Roman" w:cs="Times New Roman"/>
        </w:rPr>
        <w:t>, l’</w:t>
      </w:r>
      <w:r w:rsidRPr="00D57F2D">
        <w:rPr>
          <w:rFonts w:ascii="Times New Roman" w:hAnsi="Times New Roman" w:cs="Times New Roman"/>
          <w:i/>
          <w:iCs/>
        </w:rPr>
        <w:t>assenza di criteri di soluzione univoci</w:t>
      </w:r>
      <w:r>
        <w:rPr>
          <w:rFonts w:ascii="Times New Roman" w:hAnsi="Times New Roman" w:cs="Times New Roman"/>
        </w:rPr>
        <w:t>.</w:t>
      </w:r>
    </w:p>
    <w:p w:rsidR="00357AB3" w:rsidRDefault="00357AB3" w:rsidP="00EB4EF1">
      <w:pPr>
        <w:spacing w:after="0" w:line="360" w:lineRule="auto"/>
        <w:ind w:firstLine="709"/>
        <w:jc w:val="both"/>
        <w:rPr>
          <w:rFonts w:ascii="Times New Roman" w:hAnsi="Times New Roman" w:cs="Times New Roman"/>
        </w:rPr>
      </w:pPr>
      <w:r>
        <w:rPr>
          <w:rFonts w:ascii="Times New Roman" w:hAnsi="Times New Roman" w:cs="Times New Roman"/>
        </w:rPr>
        <w:t>Importanti indicazioni – e contributi alla soluzione del problema dell’</w:t>
      </w:r>
      <w:r w:rsidRPr="003409BB">
        <w:rPr>
          <w:rFonts w:ascii="Times New Roman" w:hAnsi="Times New Roman" w:cs="Times New Roman"/>
          <w:i/>
          <w:iCs/>
        </w:rPr>
        <w:t xml:space="preserve">abolitio criminis </w:t>
      </w:r>
      <w:r>
        <w:rPr>
          <w:rFonts w:ascii="Times New Roman" w:hAnsi="Times New Roman" w:cs="Times New Roman"/>
        </w:rPr>
        <w:t xml:space="preserve">come conseguenza della successione di norme “integratrici” – provengono da </w:t>
      </w:r>
      <w:r w:rsidRPr="0028479E">
        <w:rPr>
          <w:rFonts w:ascii="Times New Roman" w:hAnsi="Times New Roman" w:cs="Times New Roman"/>
          <w:i/>
          <w:iCs/>
        </w:rPr>
        <w:t>tre recenti sentenze delle Sezioni Unite della Corte di Cassazione</w:t>
      </w:r>
      <w:r>
        <w:rPr>
          <w:rFonts w:ascii="Times New Roman" w:hAnsi="Times New Roman" w:cs="Times New Roman"/>
        </w:rPr>
        <w:t xml:space="preserve">, pronunciate tra il 2007 e il 2009, a testimonianza di quanto sia attuale e pressante, nella prassi, l’esigenza di individuare un criterio di soluzione di quel problema. In questa mia breve relazione provvederò dapprima ad illustrare brevemente i tre diversi casi affrontati dalle S.U. e poi, nel dar conto delle rispettive soluzioni ed argomentazioni, a mettere in rilievo i </w:t>
      </w:r>
      <w:r w:rsidRPr="000679E2">
        <w:rPr>
          <w:rFonts w:ascii="Times New Roman" w:hAnsi="Times New Roman" w:cs="Times New Roman"/>
          <w:i/>
          <w:iCs/>
        </w:rPr>
        <w:t>principi di diritto che trovano affermazione comune nelle tre sentenze</w:t>
      </w:r>
      <w:r>
        <w:rPr>
          <w:rFonts w:ascii="Times New Roman" w:hAnsi="Times New Roman" w:cs="Times New Roman"/>
        </w:rPr>
        <w:t xml:space="preserve"> e che, pertanto, si impongono oggi senz’altro all’attenzione dell’interprete.</w:t>
      </w:r>
    </w:p>
    <w:p w:rsidR="00357AB3" w:rsidRDefault="00357AB3" w:rsidP="003409BB">
      <w:pPr>
        <w:spacing w:after="0" w:line="360" w:lineRule="auto"/>
        <w:ind w:firstLine="709"/>
        <w:jc w:val="both"/>
        <w:rPr>
          <w:rFonts w:ascii="Times New Roman" w:hAnsi="Times New Roman" w:cs="Times New Roman"/>
        </w:rPr>
      </w:pPr>
    </w:p>
    <w:p w:rsidR="00357AB3" w:rsidRPr="00EB4EF1" w:rsidRDefault="00357AB3" w:rsidP="003409BB">
      <w:pPr>
        <w:spacing w:after="0" w:line="360" w:lineRule="auto"/>
        <w:ind w:firstLine="709"/>
        <w:jc w:val="both"/>
        <w:rPr>
          <w:rFonts w:ascii="Times New Roman" w:hAnsi="Times New Roman" w:cs="Times New Roman"/>
          <w:b/>
          <w:bCs/>
        </w:rPr>
      </w:pPr>
      <w:r w:rsidRPr="00EB4EF1">
        <w:rPr>
          <w:rFonts w:ascii="Times New Roman" w:hAnsi="Times New Roman" w:cs="Times New Roman"/>
          <w:b/>
          <w:bCs/>
        </w:rPr>
        <w:t>3. Le sentenze Magera</w:t>
      </w:r>
      <w:r>
        <w:rPr>
          <w:rFonts w:ascii="Times New Roman" w:hAnsi="Times New Roman" w:cs="Times New Roman"/>
          <w:b/>
          <w:bCs/>
        </w:rPr>
        <w:t xml:space="preserve"> (2007)</w:t>
      </w:r>
      <w:r w:rsidRPr="00EB4EF1">
        <w:rPr>
          <w:rFonts w:ascii="Times New Roman" w:hAnsi="Times New Roman" w:cs="Times New Roman"/>
          <w:b/>
          <w:bCs/>
        </w:rPr>
        <w:t>, Niccoli</w:t>
      </w:r>
      <w:r>
        <w:rPr>
          <w:rFonts w:ascii="Times New Roman" w:hAnsi="Times New Roman" w:cs="Times New Roman"/>
          <w:b/>
          <w:bCs/>
        </w:rPr>
        <w:t xml:space="preserve"> (2008)</w:t>
      </w:r>
      <w:r w:rsidRPr="00EB4EF1">
        <w:rPr>
          <w:rFonts w:ascii="Times New Roman" w:hAnsi="Times New Roman" w:cs="Times New Roman"/>
          <w:b/>
          <w:bCs/>
        </w:rPr>
        <w:t xml:space="preserve"> e Rizzoli</w:t>
      </w:r>
      <w:r>
        <w:rPr>
          <w:rFonts w:ascii="Times New Roman" w:hAnsi="Times New Roman" w:cs="Times New Roman"/>
          <w:b/>
          <w:bCs/>
        </w:rPr>
        <w:t xml:space="preserve"> (2009)</w:t>
      </w:r>
      <w:r w:rsidRPr="00EB4EF1">
        <w:rPr>
          <w:rFonts w:ascii="Times New Roman" w:hAnsi="Times New Roman" w:cs="Times New Roman"/>
          <w:b/>
          <w:bCs/>
        </w:rPr>
        <w:t>.</w:t>
      </w:r>
    </w:p>
    <w:p w:rsidR="00357AB3" w:rsidRDefault="00357AB3" w:rsidP="000679E2">
      <w:pPr>
        <w:spacing w:after="0" w:line="360" w:lineRule="auto"/>
        <w:jc w:val="both"/>
        <w:rPr>
          <w:rFonts w:ascii="Times New Roman" w:hAnsi="Times New Roman" w:cs="Times New Roman"/>
          <w:b/>
          <w:bCs/>
        </w:rPr>
      </w:pPr>
    </w:p>
    <w:p w:rsidR="00357AB3" w:rsidRDefault="00357AB3" w:rsidP="003E5728">
      <w:pPr>
        <w:spacing w:after="0" w:line="360" w:lineRule="auto"/>
        <w:ind w:firstLine="709"/>
        <w:jc w:val="both"/>
        <w:rPr>
          <w:rFonts w:ascii="Times New Roman" w:hAnsi="Times New Roman" w:cs="Times New Roman"/>
        </w:rPr>
      </w:pPr>
      <w:r w:rsidRPr="0047610E">
        <w:rPr>
          <w:rFonts w:ascii="Times New Roman" w:hAnsi="Times New Roman" w:cs="Times New Roman"/>
          <w:u w:val="single"/>
        </w:rPr>
        <w:t>1° caso – Cass. S.U. 27 settembre 2007, Magera</w:t>
      </w:r>
      <w:r>
        <w:rPr>
          <w:rStyle w:val="FootnoteReference"/>
          <w:rFonts w:ascii="Times New Roman" w:hAnsi="Times New Roman" w:cs="Times New Roman"/>
        </w:rPr>
        <w:footnoteReference w:id="25"/>
      </w:r>
      <w:r>
        <w:rPr>
          <w:rFonts w:ascii="Times New Roman" w:hAnsi="Times New Roman" w:cs="Times New Roman"/>
        </w:rPr>
        <w:t xml:space="preserve">: </w:t>
      </w:r>
      <w:r w:rsidRPr="00820EE8">
        <w:rPr>
          <w:rFonts w:ascii="Times New Roman" w:hAnsi="Times New Roman" w:cs="Times New Roman"/>
          <w:i/>
          <w:iCs/>
        </w:rPr>
        <w:t>sono punibili i cittadini rumeni espulsi, autori del reato</w:t>
      </w:r>
      <w:r>
        <w:rPr>
          <w:rFonts w:ascii="Times New Roman" w:hAnsi="Times New Roman" w:cs="Times New Roman"/>
          <w:i/>
          <w:iCs/>
        </w:rPr>
        <w:t xml:space="preserve"> </w:t>
      </w:r>
      <w:r w:rsidRPr="00820EE8">
        <w:rPr>
          <w:rFonts w:ascii="Times New Roman" w:hAnsi="Times New Roman" w:cs="Times New Roman"/>
          <w:i/>
          <w:iCs/>
        </w:rPr>
        <w:t xml:space="preserve">di inosservanza dell’ordine di allontanamento dallo Stato </w:t>
      </w:r>
      <w:r>
        <w:rPr>
          <w:rFonts w:ascii="Times New Roman" w:hAnsi="Times New Roman" w:cs="Times New Roman"/>
          <w:i/>
          <w:iCs/>
        </w:rPr>
        <w:t xml:space="preserve">impartito dal questore </w:t>
      </w:r>
      <w:r w:rsidRPr="00820EE8">
        <w:rPr>
          <w:rFonts w:ascii="Times New Roman" w:hAnsi="Times New Roman" w:cs="Times New Roman"/>
          <w:i/>
          <w:iCs/>
        </w:rPr>
        <w:t xml:space="preserve">(art. 14, co. 5 </w:t>
      </w:r>
      <w:r w:rsidRPr="0019593C">
        <w:rPr>
          <w:rFonts w:ascii="Times New Roman" w:hAnsi="Times New Roman" w:cs="Times New Roman"/>
        </w:rPr>
        <w:t>ter</w:t>
      </w:r>
      <w:r w:rsidRPr="00820EE8">
        <w:rPr>
          <w:rFonts w:ascii="Times New Roman" w:hAnsi="Times New Roman" w:cs="Times New Roman"/>
          <w:i/>
          <w:iCs/>
        </w:rPr>
        <w:t xml:space="preserve"> t.u. imm.)</w:t>
      </w:r>
      <w:r>
        <w:rPr>
          <w:rFonts w:ascii="Times New Roman" w:hAnsi="Times New Roman" w:cs="Times New Roman"/>
          <w:i/>
          <w:iCs/>
        </w:rPr>
        <w:t>,</w:t>
      </w:r>
      <w:r w:rsidRPr="00820EE8">
        <w:rPr>
          <w:rFonts w:ascii="Times New Roman" w:hAnsi="Times New Roman" w:cs="Times New Roman"/>
          <w:i/>
          <w:iCs/>
        </w:rPr>
        <w:t xml:space="preserve"> se, in un momento successivo alla commissione del fatto, perdono lo </w:t>
      </w:r>
      <w:r w:rsidRPr="00820EE8">
        <w:rPr>
          <w:rFonts w:ascii="Times New Roman" w:hAnsi="Times New Roman" w:cs="Times New Roman"/>
        </w:rPr>
        <w:t>status</w:t>
      </w:r>
      <w:r w:rsidRPr="00820EE8">
        <w:rPr>
          <w:rFonts w:ascii="Times New Roman" w:hAnsi="Times New Roman" w:cs="Times New Roman"/>
          <w:i/>
          <w:iCs/>
        </w:rPr>
        <w:t xml:space="preserve"> di extracomunitari per effetto dell’adesione della Romania all’U.E.?</w:t>
      </w:r>
      <w:r>
        <w:rPr>
          <w:rFonts w:ascii="Times New Roman" w:hAnsi="Times New Roman" w:cs="Times New Roman"/>
          <w:i/>
          <w:iCs/>
        </w:rPr>
        <w:t xml:space="preserve"> </w:t>
      </w:r>
      <w:r>
        <w:rPr>
          <w:rFonts w:ascii="Times New Roman" w:hAnsi="Times New Roman" w:cs="Times New Roman"/>
        </w:rPr>
        <w:t xml:space="preserve">La questione, rimessa alle S.U. pur in assenza di un contrasto tra le Sezioni semplici, si pone in quanto, ai sensi dell’art. 1, co. 1 t.u. imm., le disposizioni del t.u., ivi compresa l’anzidetta norma incriminatrice, si applicano «ai cittadini di Stati non appartenenti all’Unione europea e agli apolidi, di seguito indicati come </w:t>
      </w:r>
      <w:r w:rsidRPr="00820EE8">
        <w:rPr>
          <w:rFonts w:ascii="Times New Roman" w:hAnsi="Times New Roman" w:cs="Times New Roman"/>
          <w:i/>
          <w:iCs/>
        </w:rPr>
        <w:t>stranieri</w:t>
      </w:r>
      <w:r>
        <w:rPr>
          <w:rFonts w:ascii="Times New Roman" w:hAnsi="Times New Roman" w:cs="Times New Roman"/>
        </w:rPr>
        <w:t xml:space="preserve">». Per effetto del Trattato di adesione della Romania all’UE, i rumeni hanno cessato, a decorrere dal 1° gennaio 2007, di essere extracomunitari e, quindi, possibili autori del reato suddetto. Si è allora verificata una parziale </w:t>
      </w:r>
      <w:r w:rsidRPr="00A03A05">
        <w:rPr>
          <w:rFonts w:ascii="Times New Roman" w:hAnsi="Times New Roman" w:cs="Times New Roman"/>
          <w:i/>
          <w:iCs/>
        </w:rPr>
        <w:t>abolitio criminis</w:t>
      </w:r>
      <w:r>
        <w:rPr>
          <w:rFonts w:ascii="Times New Roman" w:hAnsi="Times New Roman" w:cs="Times New Roman"/>
        </w:rPr>
        <w:t>, limitata ai fatti antecedentemente commessi dai cittadini rumeni?</w:t>
      </w:r>
      <w:r>
        <w:rPr>
          <w:rStyle w:val="FootnoteReference"/>
          <w:rFonts w:ascii="Times New Roman" w:hAnsi="Times New Roman" w:cs="Times New Roman"/>
        </w:rPr>
        <w:footnoteReference w:id="26"/>
      </w:r>
      <w:r>
        <w:rPr>
          <w:rFonts w:ascii="Times New Roman" w:hAnsi="Times New Roman" w:cs="Times New Roman"/>
        </w:rPr>
        <w:t xml:space="preserve"> La risposta delle S.U., per le ragioni di cui si dirà, è negativa: nessuna </w:t>
      </w:r>
      <w:r w:rsidRPr="00FD027D">
        <w:rPr>
          <w:rFonts w:ascii="Times New Roman" w:hAnsi="Times New Roman" w:cs="Times New Roman"/>
          <w:i/>
          <w:iCs/>
        </w:rPr>
        <w:t>abolitio criminis</w:t>
      </w:r>
      <w:r>
        <w:rPr>
          <w:rFonts w:ascii="Times New Roman" w:hAnsi="Times New Roman" w:cs="Times New Roman"/>
        </w:rPr>
        <w:t>.</w:t>
      </w:r>
    </w:p>
    <w:p w:rsidR="00357AB3" w:rsidRDefault="00357AB3" w:rsidP="00915DA0">
      <w:pPr>
        <w:spacing w:after="0" w:line="360" w:lineRule="auto"/>
        <w:ind w:firstLine="709"/>
        <w:jc w:val="both"/>
        <w:rPr>
          <w:rFonts w:ascii="Times New Roman" w:hAnsi="Times New Roman" w:cs="Times New Roman"/>
          <w:u w:val="single"/>
        </w:rPr>
      </w:pPr>
    </w:p>
    <w:p w:rsidR="00357AB3" w:rsidRDefault="00357AB3" w:rsidP="00915DA0">
      <w:pPr>
        <w:spacing w:after="0" w:line="360" w:lineRule="auto"/>
        <w:ind w:firstLine="709"/>
        <w:jc w:val="both"/>
        <w:rPr>
          <w:rFonts w:ascii="Times New Roman" w:hAnsi="Times New Roman" w:cs="Times New Roman"/>
        </w:rPr>
      </w:pPr>
      <w:r w:rsidRPr="009D2D33">
        <w:rPr>
          <w:rFonts w:ascii="Times New Roman" w:hAnsi="Times New Roman" w:cs="Times New Roman"/>
          <w:u w:val="single"/>
        </w:rPr>
        <w:t>2° caso – Cass. S.U. 28 febbraio 2008, Niccoli</w:t>
      </w:r>
      <w:r w:rsidRPr="009D2D33">
        <w:rPr>
          <w:rStyle w:val="FootnoteReference"/>
          <w:rFonts w:ascii="Times New Roman" w:hAnsi="Times New Roman" w:cs="Times New Roman"/>
        </w:rPr>
        <w:footnoteReference w:id="27"/>
      </w:r>
      <w:r w:rsidRPr="009D2D33">
        <w:rPr>
          <w:rFonts w:ascii="Times New Roman" w:hAnsi="Times New Roman" w:cs="Times New Roman"/>
        </w:rPr>
        <w:t xml:space="preserve">: </w:t>
      </w:r>
      <w:r w:rsidRPr="00A22C54">
        <w:rPr>
          <w:rFonts w:ascii="Times New Roman" w:hAnsi="Times New Roman" w:cs="Times New Roman"/>
          <w:i/>
          <w:iCs/>
        </w:rPr>
        <w:t xml:space="preserve">è punibile la bancarotta </w:t>
      </w:r>
      <w:r>
        <w:rPr>
          <w:rFonts w:ascii="Times New Roman" w:hAnsi="Times New Roman" w:cs="Times New Roman"/>
          <w:i/>
          <w:iCs/>
        </w:rPr>
        <w:t xml:space="preserve">(artt. 216, 217, 223 l. fall.) </w:t>
      </w:r>
      <w:r w:rsidRPr="00A22C54">
        <w:rPr>
          <w:rFonts w:ascii="Times New Roman" w:hAnsi="Times New Roman" w:cs="Times New Roman"/>
          <w:i/>
          <w:iCs/>
        </w:rPr>
        <w:t xml:space="preserve">se, dopo la commissione del fatto, mutano i </w:t>
      </w:r>
      <w:r>
        <w:rPr>
          <w:rFonts w:ascii="Times New Roman" w:hAnsi="Times New Roman" w:cs="Times New Roman"/>
          <w:i/>
          <w:iCs/>
        </w:rPr>
        <w:t xml:space="preserve">requisiti </w:t>
      </w:r>
      <w:r w:rsidRPr="00A22C54">
        <w:rPr>
          <w:rFonts w:ascii="Times New Roman" w:hAnsi="Times New Roman" w:cs="Times New Roman"/>
          <w:i/>
          <w:iCs/>
        </w:rPr>
        <w:t xml:space="preserve"> per l’assoggettabilità dell’impresa al fallimento, cosicché l’imprenditore, in base alla nuova disciplina, non potrebbe più essere dichiarato fallito?</w:t>
      </w:r>
      <w:r>
        <w:rPr>
          <w:rFonts w:ascii="Times New Roman" w:hAnsi="Times New Roman" w:cs="Times New Roman"/>
          <w:i/>
          <w:iCs/>
        </w:rPr>
        <w:t xml:space="preserve"> </w:t>
      </w:r>
      <w:r>
        <w:rPr>
          <w:rFonts w:ascii="Times New Roman" w:hAnsi="Times New Roman" w:cs="Times New Roman"/>
        </w:rPr>
        <w:t>La questione – rimessa alle S.U. per l’esistenza di un contrasto giurisprudenziale interno alla Quinta Sezione</w:t>
      </w:r>
      <w:r>
        <w:rPr>
          <w:rStyle w:val="FootnoteReference"/>
          <w:rFonts w:ascii="Times New Roman" w:hAnsi="Times New Roman" w:cs="Times New Roman"/>
        </w:rPr>
        <w:footnoteReference w:id="28"/>
      </w:r>
      <w:r>
        <w:rPr>
          <w:rFonts w:ascii="Times New Roman" w:hAnsi="Times New Roman" w:cs="Times New Roman"/>
        </w:rPr>
        <w:t xml:space="preserve"> – si pone in </w:t>
      </w:r>
      <w:r w:rsidRPr="001A4476">
        <w:rPr>
          <w:rFonts w:ascii="Times New Roman" w:hAnsi="Times New Roman" w:cs="Times New Roman"/>
        </w:rPr>
        <w:t>quanto</w:t>
      </w:r>
      <w:r>
        <w:rPr>
          <w:rFonts w:ascii="Times New Roman" w:hAnsi="Times New Roman" w:cs="Times New Roman"/>
        </w:rPr>
        <w:t>, come è noto,</w:t>
      </w:r>
      <w:r w:rsidRPr="001A4476">
        <w:rPr>
          <w:rFonts w:ascii="Times New Roman" w:hAnsi="Times New Roman" w:cs="Times New Roman"/>
          <w:i/>
          <w:iCs/>
        </w:rPr>
        <w:t xml:space="preserve"> autore dei reati di bancarotta può essere solo l’imprenditore soggetto alle disposizioni sul fallimento</w:t>
      </w:r>
      <w:r>
        <w:rPr>
          <w:rFonts w:ascii="Times New Roman" w:hAnsi="Times New Roman" w:cs="Times New Roman"/>
        </w:rPr>
        <w:t xml:space="preserve">. Fino al recente passato, per individuare i soggetti esonerati dal fallimento l’art. 1 l. fall. (nella versione precedente al d.lgs. n. 169/2007) utilizzava la nozione di </w:t>
      </w:r>
      <w:r w:rsidRPr="001A38A0">
        <w:rPr>
          <w:rFonts w:ascii="Times New Roman" w:hAnsi="Times New Roman" w:cs="Times New Roman"/>
          <w:i/>
          <w:iCs/>
        </w:rPr>
        <w:t>«piccolo imprenditore»</w:t>
      </w:r>
      <w:r>
        <w:rPr>
          <w:rFonts w:ascii="Times New Roman" w:hAnsi="Times New Roman" w:cs="Times New Roman"/>
        </w:rPr>
        <w:t xml:space="preserve">: era piccolo l’imprenditore commerciale che </w:t>
      </w:r>
      <w:r w:rsidRPr="001A4476">
        <w:rPr>
          <w:rFonts w:ascii="Times New Roman" w:hAnsi="Times New Roman" w:cs="Times New Roman"/>
          <w:i/>
          <w:iCs/>
        </w:rPr>
        <w:t>non</w:t>
      </w:r>
      <w:r>
        <w:rPr>
          <w:rFonts w:ascii="Times New Roman" w:hAnsi="Times New Roman" w:cs="Times New Roman"/>
        </w:rPr>
        <w:t xml:space="preserve"> possedeva determinati requisiti dimensionali; e chi era «piccolo imprenditore» non era soggetto al fallimento e, pertanto, non poteva essere autore dei reati di bancarotta. Orbene, con la riforma della legge fallimentare del 2006 (d.lgs. 9 gennaio 2006, n. 5) sono stati modificati i requisiti per l’attribuzione della qualifica di piccolo imprenditore, nel segno di un </w:t>
      </w:r>
      <w:r w:rsidRPr="001A4476">
        <w:rPr>
          <w:rFonts w:ascii="Times New Roman" w:hAnsi="Times New Roman" w:cs="Times New Roman"/>
          <w:i/>
          <w:iCs/>
        </w:rPr>
        <w:t>ampliamento del novero dei soggetti esonerati dal fallimento</w:t>
      </w:r>
      <w:r>
        <w:rPr>
          <w:rFonts w:ascii="Times New Roman" w:hAnsi="Times New Roman" w:cs="Times New Roman"/>
        </w:rPr>
        <w:t xml:space="preserve">. Questi sono stati individuati, in particolare, negli esercenti un’attività commerciale, in forma individuale o collettiva, che, alternativamente, non avessero effettuato investimenti nell’azienda per un capitale di valore superiore a 300.000 euro, ovvero non avessero realizzato ricavi lordi, calcolati sulla media degli ultimi tre anni, per un ammontare complessivo annuo superiore a 200.000 euro. Nel caso affrontato dalle S.U., si è trattato di decidere sulla perdurante rilevanza penale di fatti di bancarotta semplice documentale commessi da imprenditore che, in considerazione dell’ammontare dei ricavi e degli investimenti nel periodo di riferimento, possedeva all’epoca del fatto i requisiti dimensionali previsti dalla </w:t>
      </w:r>
      <w:r w:rsidRPr="00EB4EF1">
        <w:rPr>
          <w:rFonts w:ascii="Times New Roman" w:hAnsi="Times New Roman" w:cs="Times New Roman"/>
          <w:i/>
          <w:iCs/>
        </w:rPr>
        <w:t>nuova</w:t>
      </w:r>
      <w:r>
        <w:rPr>
          <w:rFonts w:ascii="Times New Roman" w:hAnsi="Times New Roman" w:cs="Times New Roman"/>
        </w:rPr>
        <w:t xml:space="preserve"> nozione di «piccolo imprenditore», in base alla quale pertanto </w:t>
      </w:r>
      <w:r w:rsidRPr="0019593C">
        <w:rPr>
          <w:rFonts w:ascii="Times New Roman" w:hAnsi="Times New Roman" w:cs="Times New Roman"/>
          <w:i/>
          <w:iCs/>
        </w:rPr>
        <w:t>non</w:t>
      </w:r>
      <w:r>
        <w:rPr>
          <w:rFonts w:ascii="Times New Roman" w:hAnsi="Times New Roman" w:cs="Times New Roman"/>
        </w:rPr>
        <w:t xml:space="preserve"> potrebbe più essere dichiarato fallito. Si è verificata allora una parziale </w:t>
      </w:r>
      <w:r w:rsidRPr="00915DA0">
        <w:rPr>
          <w:rFonts w:ascii="Times New Roman" w:hAnsi="Times New Roman" w:cs="Times New Roman"/>
          <w:i/>
          <w:iCs/>
        </w:rPr>
        <w:t>abolitio criminis</w:t>
      </w:r>
      <w:r>
        <w:rPr>
          <w:rFonts w:ascii="Times New Roman" w:hAnsi="Times New Roman" w:cs="Times New Roman"/>
        </w:rPr>
        <w:t xml:space="preserve">, limitata ai fatti commessi dagli imprenditori che in base alla nuova disciplina extrapenale non potrebbero più essere dichiarati falliti? La risposta delle Sezioni Unite, per le ragioni di cui si dirà, è anche in questo caso negativa: nessuna </w:t>
      </w:r>
      <w:r w:rsidRPr="003E5728">
        <w:rPr>
          <w:rFonts w:ascii="Times New Roman" w:hAnsi="Times New Roman" w:cs="Times New Roman"/>
          <w:i/>
          <w:iCs/>
        </w:rPr>
        <w:t>abolitio criminis</w:t>
      </w:r>
      <w:r>
        <w:rPr>
          <w:rFonts w:ascii="Times New Roman" w:hAnsi="Times New Roman" w:cs="Times New Roman"/>
        </w:rPr>
        <w:t>.</w:t>
      </w:r>
    </w:p>
    <w:p w:rsidR="00357AB3" w:rsidRDefault="00357AB3" w:rsidP="00915DA0">
      <w:pPr>
        <w:spacing w:after="0" w:line="360" w:lineRule="auto"/>
        <w:ind w:firstLine="709"/>
        <w:jc w:val="both"/>
        <w:rPr>
          <w:rFonts w:ascii="Times New Roman" w:hAnsi="Times New Roman" w:cs="Times New Roman"/>
        </w:rPr>
      </w:pPr>
    </w:p>
    <w:p w:rsidR="00357AB3" w:rsidRDefault="00357AB3" w:rsidP="00161887">
      <w:pPr>
        <w:spacing w:after="0" w:line="360" w:lineRule="auto"/>
        <w:ind w:firstLine="709"/>
        <w:jc w:val="both"/>
        <w:rPr>
          <w:rFonts w:ascii="Times New Roman" w:hAnsi="Times New Roman" w:cs="Times New Roman"/>
        </w:rPr>
      </w:pPr>
      <w:r w:rsidRPr="00915DA0">
        <w:rPr>
          <w:rFonts w:ascii="Times New Roman" w:hAnsi="Times New Roman" w:cs="Times New Roman"/>
          <w:u w:val="single"/>
        </w:rPr>
        <w:t>3° caso – Cass. S.U. 26 febbraio 2009, Rizzoli</w:t>
      </w:r>
      <w:r>
        <w:rPr>
          <w:rStyle w:val="FootnoteReference"/>
          <w:rFonts w:ascii="Times New Roman" w:hAnsi="Times New Roman" w:cs="Times New Roman"/>
        </w:rPr>
        <w:footnoteReference w:id="29"/>
      </w:r>
      <w:r>
        <w:rPr>
          <w:rFonts w:ascii="Times New Roman" w:hAnsi="Times New Roman" w:cs="Times New Roman"/>
        </w:rPr>
        <w:t xml:space="preserve">: </w:t>
      </w:r>
      <w:r>
        <w:rPr>
          <w:rFonts w:ascii="Times New Roman" w:hAnsi="Times New Roman" w:cs="Times New Roman"/>
          <w:i/>
          <w:iCs/>
        </w:rPr>
        <w:t xml:space="preserve">è punibile la bancarotta fraudolenta impropria commessa nella gestione di una società ammessa all’amministrazione controllata (art. 236, co. 2, n. 1 l. fall.) se, dopo la commissione del fatto, detta procedura concorsuale viene abolita, come è avvenuto in occasione della già citata riforma della legge fallimentare del 2006? </w:t>
      </w:r>
      <w:r>
        <w:rPr>
          <w:rFonts w:ascii="Times New Roman" w:hAnsi="Times New Roman" w:cs="Times New Roman"/>
        </w:rPr>
        <w:t xml:space="preserve">Il quesito –  rimesso alle S.U. per prevenire l’insorgere di un possibile contrasto giurisprudenziale – si pone in quanto l’art. 236, co. 2, n. 1 l. fall. estende le norme incriminatrici della bancarotta impropria, fraudolenta e semplice, all’amministrazione controllata e al concordato preventivo; procedure che risultano parificate al fallimento, agli effetti della repressione dei reati sia pre-concorsuali sia post-concorsuali. Abolita l’amministrazione controllata, l’anzidetta norma incriminatrice si riferisce oggi al solo concordato preventivo (procedura sensibilmente rinnovata dalla legge fallimentare, ma non abolita). Orbene: </w:t>
      </w:r>
      <w:r w:rsidRPr="003B114D">
        <w:rPr>
          <w:rFonts w:ascii="Times New Roman" w:hAnsi="Times New Roman" w:cs="Times New Roman"/>
          <w:i/>
          <w:iCs/>
        </w:rPr>
        <w:t xml:space="preserve">può dirsi che l’abolizione dell’amministrazione controllata abbia </w:t>
      </w:r>
      <w:r>
        <w:rPr>
          <w:rFonts w:ascii="Times New Roman" w:hAnsi="Times New Roman" w:cs="Times New Roman"/>
          <w:i/>
          <w:iCs/>
        </w:rPr>
        <w:t xml:space="preserve">comportato </w:t>
      </w:r>
      <w:r w:rsidRPr="003B114D">
        <w:rPr>
          <w:rFonts w:ascii="Times New Roman" w:hAnsi="Times New Roman" w:cs="Times New Roman"/>
          <w:i/>
          <w:iCs/>
        </w:rPr>
        <w:t>l’</w:t>
      </w:r>
      <w:r w:rsidRPr="00161887">
        <w:rPr>
          <w:rFonts w:ascii="Times New Roman" w:hAnsi="Times New Roman" w:cs="Times New Roman"/>
        </w:rPr>
        <w:t xml:space="preserve">abolitio criminis </w:t>
      </w:r>
      <w:r w:rsidRPr="003B114D">
        <w:rPr>
          <w:rFonts w:ascii="Times New Roman" w:hAnsi="Times New Roman" w:cs="Times New Roman"/>
          <w:i/>
          <w:iCs/>
        </w:rPr>
        <w:t>della bancarotta connessa a tale procedura concorsuale, con conseguente revoca ex art. 673 c.p.p. delle sentenze di condanna passate in giudicato?</w:t>
      </w:r>
      <w:r>
        <w:rPr>
          <w:rFonts w:ascii="Times New Roman" w:hAnsi="Times New Roman" w:cs="Times New Roman"/>
          <w:i/>
          <w:iCs/>
        </w:rPr>
        <w:t xml:space="preserve"> </w:t>
      </w:r>
      <w:r>
        <w:rPr>
          <w:rFonts w:ascii="Times New Roman" w:hAnsi="Times New Roman" w:cs="Times New Roman"/>
        </w:rPr>
        <w:t>A differenza dei due casi precedenti, la risposta delle S.U., per le ragioni di cui si appresso si dirà, è affermativa, e ha portato alla revoca della sentenza di condanna.</w:t>
      </w:r>
    </w:p>
    <w:p w:rsidR="00357AB3" w:rsidRDefault="00357AB3" w:rsidP="00161887">
      <w:pPr>
        <w:spacing w:after="0" w:line="360" w:lineRule="auto"/>
        <w:ind w:firstLine="709"/>
        <w:jc w:val="both"/>
        <w:rPr>
          <w:rFonts w:ascii="Times New Roman" w:hAnsi="Times New Roman" w:cs="Times New Roman"/>
        </w:rPr>
      </w:pPr>
    </w:p>
    <w:p w:rsidR="00357AB3" w:rsidRPr="00161887" w:rsidRDefault="00357AB3" w:rsidP="00161887">
      <w:pPr>
        <w:spacing w:after="0" w:line="360" w:lineRule="auto"/>
        <w:ind w:firstLine="709"/>
        <w:jc w:val="both"/>
        <w:rPr>
          <w:rFonts w:ascii="Times New Roman" w:hAnsi="Times New Roman" w:cs="Times New Roman"/>
          <w:b/>
          <w:bCs/>
        </w:rPr>
      </w:pPr>
      <w:r w:rsidRPr="00161887">
        <w:rPr>
          <w:rFonts w:ascii="Times New Roman" w:hAnsi="Times New Roman" w:cs="Times New Roman"/>
          <w:b/>
          <w:bCs/>
        </w:rPr>
        <w:t xml:space="preserve">4. </w:t>
      </w:r>
      <w:r>
        <w:rPr>
          <w:rFonts w:ascii="Times New Roman" w:hAnsi="Times New Roman" w:cs="Times New Roman"/>
          <w:b/>
          <w:bCs/>
        </w:rPr>
        <w:t>Il filo comune alle tre sentenze: l’a</w:t>
      </w:r>
      <w:r w:rsidRPr="00161887">
        <w:rPr>
          <w:rFonts w:ascii="Times New Roman" w:hAnsi="Times New Roman" w:cs="Times New Roman"/>
          <w:b/>
          <w:bCs/>
        </w:rPr>
        <w:t>dozione del ‘criterio strutturale’</w:t>
      </w:r>
      <w:r>
        <w:rPr>
          <w:rFonts w:ascii="Times New Roman" w:hAnsi="Times New Roman" w:cs="Times New Roman"/>
          <w:b/>
          <w:bCs/>
        </w:rPr>
        <w:t xml:space="preserve"> per l’accertamento dell’</w:t>
      </w:r>
      <w:r w:rsidRPr="00B47355">
        <w:rPr>
          <w:rFonts w:ascii="Times New Roman" w:hAnsi="Times New Roman" w:cs="Times New Roman"/>
          <w:b/>
          <w:bCs/>
          <w:i/>
          <w:iCs/>
        </w:rPr>
        <w:t>abolitio criminis</w:t>
      </w:r>
      <w:r>
        <w:rPr>
          <w:rFonts w:ascii="Times New Roman" w:hAnsi="Times New Roman" w:cs="Times New Roman"/>
          <w:b/>
          <w:bCs/>
        </w:rPr>
        <w:t>.</w:t>
      </w:r>
    </w:p>
    <w:p w:rsidR="00357AB3" w:rsidRDefault="00357AB3" w:rsidP="00161887">
      <w:pPr>
        <w:spacing w:after="0" w:line="360" w:lineRule="auto"/>
        <w:ind w:firstLine="709"/>
        <w:jc w:val="both"/>
        <w:rPr>
          <w:rFonts w:ascii="Times New Roman" w:hAnsi="Times New Roman" w:cs="Times New Roman"/>
        </w:rPr>
      </w:pPr>
    </w:p>
    <w:p w:rsidR="00357AB3" w:rsidRDefault="00357AB3" w:rsidP="003E5728">
      <w:pPr>
        <w:spacing w:after="0" w:line="360" w:lineRule="auto"/>
        <w:ind w:firstLine="709"/>
        <w:jc w:val="both"/>
        <w:rPr>
          <w:rFonts w:ascii="Times New Roman" w:hAnsi="Times New Roman" w:cs="Times New Roman"/>
        </w:rPr>
      </w:pPr>
      <w:r>
        <w:rPr>
          <w:rFonts w:ascii="Times New Roman" w:hAnsi="Times New Roman" w:cs="Times New Roman"/>
        </w:rPr>
        <w:t xml:space="preserve">Uno sguardo congiunto alle motivazioni delle tre sentenze delle Sezioni Unite consente di individuare, al di là delle diverse soluzioni, </w:t>
      </w:r>
      <w:r w:rsidRPr="003E5728">
        <w:rPr>
          <w:rFonts w:ascii="Times New Roman" w:hAnsi="Times New Roman" w:cs="Times New Roman"/>
          <w:i/>
          <w:iCs/>
        </w:rPr>
        <w:t>un filo comune</w:t>
      </w:r>
      <w:r>
        <w:rPr>
          <w:rFonts w:ascii="Times New Roman" w:hAnsi="Times New Roman" w:cs="Times New Roman"/>
        </w:rPr>
        <w:t xml:space="preserve">, rappresentato dall’adozione del </w:t>
      </w:r>
      <w:r w:rsidRPr="0019593C">
        <w:rPr>
          <w:rFonts w:ascii="Times New Roman" w:hAnsi="Times New Roman" w:cs="Times New Roman"/>
          <w:i/>
          <w:iCs/>
        </w:rPr>
        <w:t>medesimo criterio per l’accertamento dell’</w:t>
      </w:r>
      <w:r w:rsidRPr="00D84867">
        <w:rPr>
          <w:rFonts w:ascii="Times New Roman" w:hAnsi="Times New Roman" w:cs="Times New Roman"/>
          <w:i/>
          <w:iCs/>
        </w:rPr>
        <w:t>abolitio criminis</w:t>
      </w:r>
      <w:r>
        <w:rPr>
          <w:rFonts w:ascii="Times New Roman" w:hAnsi="Times New Roman" w:cs="Times New Roman"/>
        </w:rPr>
        <w:t xml:space="preserve">, ora negata (sentenze Magera e Niccoli), ora affermata (sentenza Rizzoli). E’ il c.d. </w:t>
      </w:r>
      <w:r w:rsidRPr="00060189">
        <w:rPr>
          <w:rFonts w:ascii="Times New Roman" w:hAnsi="Times New Roman" w:cs="Times New Roman"/>
          <w:i/>
          <w:iCs/>
        </w:rPr>
        <w:t xml:space="preserve">criterio </w:t>
      </w:r>
      <w:r w:rsidRPr="00C435F3">
        <w:rPr>
          <w:rFonts w:ascii="Times New Roman" w:hAnsi="Times New Roman" w:cs="Times New Roman"/>
          <w:i/>
          <w:iCs/>
        </w:rPr>
        <w:t>strutturale</w:t>
      </w:r>
      <w:r>
        <w:rPr>
          <w:rFonts w:ascii="Times New Roman" w:hAnsi="Times New Roman" w:cs="Times New Roman"/>
        </w:rPr>
        <w:t>: l’</w:t>
      </w:r>
      <w:r w:rsidRPr="000A0E79">
        <w:rPr>
          <w:rFonts w:ascii="Times New Roman" w:hAnsi="Times New Roman" w:cs="Times New Roman"/>
          <w:i/>
          <w:iCs/>
        </w:rPr>
        <w:t>abolitio criminis</w:t>
      </w:r>
      <w:r>
        <w:rPr>
          <w:rFonts w:ascii="Times New Roman" w:hAnsi="Times New Roman" w:cs="Times New Roman"/>
        </w:rPr>
        <w:t>, che comporta la perdita di rilevanza penale del fatto,</w:t>
      </w:r>
      <w:r w:rsidRPr="000A0E79">
        <w:rPr>
          <w:rFonts w:ascii="Times New Roman" w:hAnsi="Times New Roman" w:cs="Times New Roman"/>
          <w:i/>
          <w:iCs/>
        </w:rPr>
        <w:t xml:space="preserve"> </w:t>
      </w:r>
      <w:r>
        <w:rPr>
          <w:rFonts w:ascii="Times New Roman" w:hAnsi="Times New Roman" w:cs="Times New Roman"/>
        </w:rPr>
        <w:t xml:space="preserve">consegue sempre a una </w:t>
      </w:r>
      <w:r w:rsidRPr="000A0E79">
        <w:rPr>
          <w:rFonts w:ascii="Times New Roman" w:hAnsi="Times New Roman" w:cs="Times New Roman"/>
          <w:i/>
          <w:iCs/>
        </w:rPr>
        <w:t>modifica della fattispecie legale astratta</w:t>
      </w:r>
      <w:r>
        <w:rPr>
          <w:rFonts w:ascii="Times New Roman" w:hAnsi="Times New Roman" w:cs="Times New Roman"/>
        </w:rPr>
        <w:t xml:space="preserve">, che rappresenta, come si legge nella sentenza </w:t>
      </w:r>
      <w:r w:rsidRPr="00867FE0">
        <w:rPr>
          <w:rFonts w:ascii="Times New Roman" w:hAnsi="Times New Roman" w:cs="Times New Roman"/>
          <w:b/>
          <w:bCs/>
        </w:rPr>
        <w:t>Rizzoli</w:t>
      </w:r>
      <w:r>
        <w:rPr>
          <w:rFonts w:ascii="Times New Roman" w:hAnsi="Times New Roman" w:cs="Times New Roman"/>
        </w:rPr>
        <w:t xml:space="preserve">, “non solo strumento di </w:t>
      </w:r>
      <w:r w:rsidRPr="00C435F3">
        <w:rPr>
          <w:rFonts w:ascii="Times New Roman" w:hAnsi="Times New Roman" w:cs="Times New Roman"/>
          <w:i/>
          <w:iCs/>
        </w:rPr>
        <w:t>selezione</w:t>
      </w:r>
      <w:r>
        <w:rPr>
          <w:rFonts w:ascii="Times New Roman" w:hAnsi="Times New Roman" w:cs="Times New Roman"/>
        </w:rPr>
        <w:t xml:space="preserve"> dei fatti penalmente rilevanti, ma anche strumento di </w:t>
      </w:r>
      <w:r w:rsidRPr="00C435F3">
        <w:rPr>
          <w:rFonts w:ascii="Times New Roman" w:hAnsi="Times New Roman" w:cs="Times New Roman"/>
          <w:i/>
          <w:iCs/>
        </w:rPr>
        <w:t>de-selezione</w:t>
      </w:r>
      <w:r>
        <w:rPr>
          <w:rFonts w:ascii="Times New Roman" w:hAnsi="Times New Roman" w:cs="Times New Roman"/>
        </w:rPr>
        <w:t xml:space="preserve"> dei fatti stessi”</w:t>
      </w:r>
      <w:r>
        <w:rPr>
          <w:rStyle w:val="FootnoteReference"/>
          <w:rFonts w:ascii="Times New Roman" w:hAnsi="Times New Roman" w:cs="Times New Roman"/>
        </w:rPr>
        <w:footnoteReference w:id="30"/>
      </w:r>
      <w:r>
        <w:rPr>
          <w:rFonts w:ascii="Times New Roman" w:hAnsi="Times New Roman" w:cs="Times New Roman"/>
        </w:rPr>
        <w:t xml:space="preserve">. </w:t>
      </w:r>
    </w:p>
    <w:p w:rsidR="00357AB3" w:rsidRDefault="00357AB3" w:rsidP="00060189">
      <w:pPr>
        <w:spacing w:after="0" w:line="360" w:lineRule="auto"/>
        <w:ind w:firstLine="709"/>
        <w:jc w:val="both"/>
        <w:rPr>
          <w:rFonts w:ascii="Times New Roman" w:hAnsi="Times New Roman" w:cs="Times New Roman"/>
        </w:rPr>
      </w:pPr>
      <w:r>
        <w:rPr>
          <w:rFonts w:ascii="Times New Roman" w:hAnsi="Times New Roman" w:cs="Times New Roman"/>
        </w:rPr>
        <w:t xml:space="preserve">L’adozione del criterio ‘strutturale’ per la soluzione dei problemi di </w:t>
      </w:r>
      <w:r w:rsidRPr="00A04428">
        <w:rPr>
          <w:rFonts w:ascii="Times New Roman" w:hAnsi="Times New Roman" w:cs="Times New Roman"/>
          <w:i/>
          <w:iCs/>
        </w:rPr>
        <w:t xml:space="preserve">abolitio criminis </w:t>
      </w:r>
      <w:r>
        <w:rPr>
          <w:rFonts w:ascii="Times New Roman" w:hAnsi="Times New Roman" w:cs="Times New Roman"/>
        </w:rPr>
        <w:t>in caso di successione di norme “integratrici” rappresenta, nella giurisprudenza delle Sezioni Unite, una novità. La sentenza Tuzet – la prima in ordine di tempo delle S.U. sulla questione in esame –, si era infatti espressa alla fine degli anni ottanta a favore del criterio del ‘fatto concreto’ (o della doppia punibilità in concreto)</w:t>
      </w:r>
      <w:r>
        <w:rPr>
          <w:rStyle w:val="FootnoteReference"/>
          <w:rFonts w:ascii="Times New Roman" w:hAnsi="Times New Roman" w:cs="Times New Roman"/>
        </w:rPr>
        <w:footnoteReference w:id="31"/>
      </w:r>
      <w:r>
        <w:rPr>
          <w:rFonts w:ascii="Times New Roman" w:hAnsi="Times New Roman" w:cs="Times New Roman"/>
        </w:rPr>
        <w:t>, allorché aveva escluso la punibilità del peculato dell’operatore bancario per i fatti commessi prima che venisse meno, in capo a quel soggetto, la qualifica di incaricato di pubblico servizio: “la formulazione letterale del 2° comma dell’art. 2 è abbastanza chiara nell’escludere la punibilità per un fatto che, secondo una legge posteriore, non costituisce più reato. E per quanti bizantinismi si vogliano fare, non si potrà mai contestare che il fatto ascritto [all’imputato], se commesso oggi, non costituirebbe reato”.</w:t>
      </w:r>
    </w:p>
    <w:p w:rsidR="00357AB3" w:rsidRDefault="00357AB3" w:rsidP="006A3424">
      <w:pPr>
        <w:spacing w:after="0" w:line="360" w:lineRule="auto"/>
        <w:ind w:firstLine="709"/>
        <w:jc w:val="both"/>
        <w:rPr>
          <w:rFonts w:ascii="Times New Roman" w:hAnsi="Times New Roman" w:cs="Times New Roman"/>
        </w:rPr>
      </w:pPr>
      <w:r>
        <w:rPr>
          <w:rFonts w:ascii="Times New Roman" w:hAnsi="Times New Roman" w:cs="Times New Roman"/>
        </w:rPr>
        <w:t>E’ un criterio, patrocinato da autorevole dottrina</w:t>
      </w:r>
      <w:r>
        <w:rPr>
          <w:rStyle w:val="FootnoteReference"/>
          <w:rFonts w:ascii="Times New Roman" w:hAnsi="Times New Roman" w:cs="Times New Roman"/>
        </w:rPr>
        <w:footnoteReference w:id="32"/>
      </w:r>
      <w:r>
        <w:rPr>
          <w:rFonts w:ascii="Times New Roman" w:hAnsi="Times New Roman" w:cs="Times New Roman"/>
        </w:rPr>
        <w:t xml:space="preserve">, che tuttavia – si tratta di una novità – non è oggi più accolto dalle S.U. Ribadendo un principio già espresso nella nota sentenza </w:t>
      </w:r>
      <w:r w:rsidRPr="00867FE0">
        <w:rPr>
          <w:rFonts w:ascii="Times New Roman" w:hAnsi="Times New Roman" w:cs="Times New Roman"/>
        </w:rPr>
        <w:t>Giordano</w:t>
      </w:r>
      <w:r>
        <w:rPr>
          <w:rFonts w:ascii="Times New Roman" w:hAnsi="Times New Roman" w:cs="Times New Roman"/>
        </w:rPr>
        <w:t xml:space="preserve"> del 2003</w:t>
      </w:r>
      <w:r>
        <w:rPr>
          <w:rStyle w:val="FootnoteReference"/>
          <w:rFonts w:ascii="Times New Roman" w:hAnsi="Times New Roman" w:cs="Times New Roman"/>
        </w:rPr>
        <w:footnoteReference w:id="33"/>
      </w:r>
      <w:r>
        <w:rPr>
          <w:rFonts w:ascii="Times New Roman" w:hAnsi="Times New Roman" w:cs="Times New Roman"/>
        </w:rPr>
        <w:t xml:space="preserve"> – relativa ai problemi di diritto intertemporale conseguenti alla riforma del  falso in bilancio e della bancarotta impropria da reato societario, ad opera del d.lgs. 11 aprile 2002, n. 61 –, le S.U. affermano oggi che per accertare </w:t>
      </w:r>
      <w:r w:rsidRPr="00C435F3">
        <w:rPr>
          <w:rFonts w:ascii="Times New Roman" w:hAnsi="Times New Roman" w:cs="Times New Roman"/>
        </w:rPr>
        <w:t>l’</w:t>
      </w:r>
      <w:r w:rsidRPr="00C435F3">
        <w:rPr>
          <w:rFonts w:ascii="Times New Roman" w:hAnsi="Times New Roman" w:cs="Times New Roman"/>
          <w:i/>
          <w:iCs/>
        </w:rPr>
        <w:t xml:space="preserve">abolitio criminis </w:t>
      </w:r>
      <w:r>
        <w:rPr>
          <w:rFonts w:ascii="Times New Roman" w:hAnsi="Times New Roman" w:cs="Times New Roman"/>
        </w:rPr>
        <w:t>l’interprete deve procedere al “</w:t>
      </w:r>
      <w:r w:rsidRPr="00C435F3">
        <w:rPr>
          <w:rFonts w:ascii="Times New Roman" w:hAnsi="Times New Roman" w:cs="Times New Roman"/>
          <w:i/>
          <w:iCs/>
        </w:rPr>
        <w:t>confronto strutturale tra le fattispecie legali astratte che si succedono</w:t>
      </w:r>
      <w:r>
        <w:rPr>
          <w:rFonts w:ascii="Times New Roman" w:hAnsi="Times New Roman" w:cs="Times New Roman"/>
          <w:i/>
          <w:iCs/>
        </w:rPr>
        <w:t xml:space="preserve"> nel tempo, quella precedente e quella successiva all’intervento del legislatore</w:t>
      </w:r>
      <w:r>
        <w:rPr>
          <w:rFonts w:ascii="Times New Roman" w:hAnsi="Times New Roman" w:cs="Times New Roman"/>
        </w:rPr>
        <w:t>”</w:t>
      </w:r>
      <w:r>
        <w:rPr>
          <w:rStyle w:val="FootnoteReference"/>
          <w:rFonts w:ascii="Times New Roman" w:hAnsi="Times New Roman" w:cs="Times New Roman"/>
        </w:rPr>
        <w:footnoteReference w:id="34"/>
      </w:r>
      <w:r>
        <w:rPr>
          <w:rFonts w:ascii="Times New Roman" w:hAnsi="Times New Roman" w:cs="Times New Roman"/>
        </w:rPr>
        <w:t xml:space="preserve">. </w:t>
      </w:r>
    </w:p>
    <w:p w:rsidR="00357AB3" w:rsidRDefault="00357AB3" w:rsidP="003E5728">
      <w:pPr>
        <w:spacing w:after="0" w:line="360" w:lineRule="auto"/>
        <w:ind w:firstLine="709"/>
        <w:jc w:val="both"/>
        <w:rPr>
          <w:rFonts w:ascii="Times New Roman" w:hAnsi="Times New Roman" w:cs="Times New Roman"/>
        </w:rPr>
      </w:pPr>
      <w:r>
        <w:rPr>
          <w:rFonts w:ascii="Times New Roman" w:hAnsi="Times New Roman" w:cs="Times New Roman"/>
        </w:rPr>
        <w:t xml:space="preserve">Il </w:t>
      </w:r>
      <w:r w:rsidRPr="00607A4D">
        <w:rPr>
          <w:rFonts w:ascii="Times New Roman" w:hAnsi="Times New Roman" w:cs="Times New Roman"/>
          <w:i/>
          <w:iCs/>
        </w:rPr>
        <w:t>criterio ‘strutturale’</w:t>
      </w:r>
      <w:r>
        <w:rPr>
          <w:rFonts w:ascii="Times New Roman" w:hAnsi="Times New Roman" w:cs="Times New Roman"/>
        </w:rPr>
        <w:t xml:space="preserve">, affermatosi a partire dalla sentenza Giordano sul terreno delle c.d. modifiche immediate (quelle, cioè, che incidono </w:t>
      </w:r>
      <w:r w:rsidRPr="00182C75">
        <w:rPr>
          <w:rFonts w:ascii="Times New Roman" w:hAnsi="Times New Roman" w:cs="Times New Roman"/>
          <w:i/>
          <w:iCs/>
        </w:rPr>
        <w:t>direttamente</w:t>
      </w:r>
      <w:r>
        <w:rPr>
          <w:rFonts w:ascii="Times New Roman" w:hAnsi="Times New Roman" w:cs="Times New Roman"/>
        </w:rPr>
        <w:t xml:space="preserve"> sul testo della norma incriminatrice), ha finito dunque per imporsi, nella giurisprudenza delle S.U., come criterio di accertamento dell’</w:t>
      </w:r>
      <w:r w:rsidRPr="00AB66B5">
        <w:rPr>
          <w:rFonts w:ascii="Times New Roman" w:hAnsi="Times New Roman" w:cs="Times New Roman"/>
          <w:i/>
          <w:iCs/>
        </w:rPr>
        <w:t xml:space="preserve">abolitio criminis </w:t>
      </w:r>
      <w:r w:rsidRPr="00A04428">
        <w:rPr>
          <w:rFonts w:ascii="Times New Roman" w:hAnsi="Times New Roman" w:cs="Times New Roman"/>
          <w:i/>
          <w:iCs/>
        </w:rPr>
        <w:t>anche nell’ipotesi delle c.d. modifiche mediate</w:t>
      </w:r>
      <w:r w:rsidRPr="00A04428">
        <w:rPr>
          <w:rStyle w:val="FootnoteReference"/>
          <w:rFonts w:ascii="Times New Roman" w:hAnsi="Times New Roman" w:cs="Times New Roman"/>
        </w:rPr>
        <w:footnoteReference w:id="35"/>
      </w:r>
      <w:r>
        <w:rPr>
          <w:rFonts w:ascii="Times New Roman" w:hAnsi="Times New Roman" w:cs="Times New Roman"/>
        </w:rPr>
        <w:t xml:space="preserve">. Esplicita in tal senso è la sentenza </w:t>
      </w:r>
      <w:r w:rsidRPr="00867FE0">
        <w:rPr>
          <w:rFonts w:ascii="Times New Roman" w:hAnsi="Times New Roman" w:cs="Times New Roman"/>
          <w:b/>
          <w:bCs/>
        </w:rPr>
        <w:t>Magera</w:t>
      </w:r>
      <w:r>
        <w:rPr>
          <w:rFonts w:ascii="Times New Roman" w:hAnsi="Times New Roman" w:cs="Times New Roman"/>
        </w:rPr>
        <w:t xml:space="preserve">, secondo cui la risposta al quesito posto dal primo dei casi suesposti (effetti penali dell’adesione all’UE della Romania) “deve essere ricercata facendo riferimento ai criteri già affermati in tema di successione di leggi penali da queste Sezioni Unite con la sentenza 26 marzo 2003, n. 25887, Giordano. In quella sentenza le Sezioni Unite hanno escluso la possibilità di accogliere la teoria della doppia punibilità in concreto e hanno affermato che per individuare il campo di applicazione del secondo comma dell’art. 2 c.p. non ci si può limitare a considerare se il fatto, punito in base alla legge anteriore, sia punito, o meno, in base a quella posteriore […]. </w:t>
      </w:r>
      <w:r w:rsidRPr="00607A4D">
        <w:rPr>
          <w:rFonts w:ascii="Times New Roman" w:hAnsi="Times New Roman" w:cs="Times New Roman"/>
          <w:i/>
          <w:iCs/>
        </w:rPr>
        <w:t>L’indagine sugli effetti penali della successione di leggi extrapenali va condotta facendo riferimento alla fattispecie astratta e non al fatto concreto</w:t>
      </w:r>
      <w:r>
        <w:rPr>
          <w:rFonts w:ascii="Times New Roman" w:hAnsi="Times New Roman" w:cs="Times New Roman"/>
          <w:i/>
          <w:iCs/>
        </w:rPr>
        <w:t>: non basta riconoscere che oggi il fatto commesso dall’imputato non costituirebbe più reato, ma occorre prendere in esame la fattispecie e stabilire se la norma extrapenale modificata svolga in collegamento con la disposizione incriminatrice un ruolo tale da far ritenere che, pur essendo questa rimasta immutata, la fattispecie risultante dal collegamento tra la norma penale e quella extrapenale sia cambiata e in parte non sia più prevista come reato</w:t>
      </w:r>
      <w:r w:rsidRPr="00DD211A">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i/>
          <w:iCs/>
        </w:rPr>
        <w:t>La successione avvenuta tra norme extrapenali non incide invece sulla fattispecie astratta, ma comporta più semplicemente un caso in cui in concreto il reato non è più configurabile, quando rispetto alla norma incriminatrice la modificazione della norma extrapenale comporta solo una nuova e diversa situazione di fatto</w:t>
      </w:r>
      <w:r>
        <w:rPr>
          <w:rFonts w:ascii="Times New Roman" w:hAnsi="Times New Roman" w:cs="Times New Roman"/>
        </w:rPr>
        <w:t>”</w:t>
      </w:r>
      <w:r>
        <w:rPr>
          <w:rStyle w:val="FootnoteReference"/>
          <w:rFonts w:ascii="Times New Roman" w:hAnsi="Times New Roman" w:cs="Times New Roman"/>
        </w:rPr>
        <w:footnoteReference w:id="36"/>
      </w:r>
      <w:r>
        <w:rPr>
          <w:rFonts w:ascii="Times New Roman" w:hAnsi="Times New Roman" w:cs="Times New Roman"/>
        </w:rPr>
        <w:t xml:space="preserve">. Sono principi che vengono d’altra parte ribaditi nella sentenza </w:t>
      </w:r>
      <w:r w:rsidRPr="00867FE0">
        <w:rPr>
          <w:rFonts w:ascii="Times New Roman" w:hAnsi="Times New Roman" w:cs="Times New Roman"/>
          <w:b/>
          <w:bCs/>
        </w:rPr>
        <w:t>Niccoli</w:t>
      </w:r>
      <w:r>
        <w:rPr>
          <w:rFonts w:ascii="Times New Roman" w:hAnsi="Times New Roman" w:cs="Times New Roman"/>
        </w:rPr>
        <w:t xml:space="preserve"> nella quale, dopo aver richiamato espressamente le sentenze Giordano e Magera, si afferma testualmente che per accertare l’</w:t>
      </w:r>
      <w:r w:rsidRPr="00607A4D">
        <w:rPr>
          <w:rFonts w:ascii="Times New Roman" w:hAnsi="Times New Roman" w:cs="Times New Roman"/>
          <w:i/>
          <w:iCs/>
        </w:rPr>
        <w:t xml:space="preserve">abolitio criminis </w:t>
      </w:r>
      <w:r>
        <w:rPr>
          <w:rFonts w:ascii="Times New Roman" w:hAnsi="Times New Roman" w:cs="Times New Roman"/>
        </w:rPr>
        <w:t>“</w:t>
      </w:r>
      <w:r w:rsidRPr="00607A4D">
        <w:rPr>
          <w:rFonts w:ascii="Times New Roman" w:hAnsi="Times New Roman" w:cs="Times New Roman"/>
          <w:i/>
          <w:iCs/>
        </w:rPr>
        <w:t>occorre verificare se la norma extrapenale incida su un elemento della fattispecie astratta</w:t>
      </w:r>
      <w:r>
        <w:rPr>
          <w:rFonts w:ascii="Times New Roman" w:hAnsi="Times New Roman" w:cs="Times New Roman"/>
        </w:rPr>
        <w:t>, non essendo di per sé rilevante una mutata situazione di fatto che da quella norma derivi”</w:t>
      </w:r>
      <w:r>
        <w:rPr>
          <w:rStyle w:val="FootnoteReference"/>
          <w:rFonts w:ascii="Times New Roman" w:hAnsi="Times New Roman" w:cs="Times New Roman"/>
        </w:rPr>
        <w:footnoteReference w:id="37"/>
      </w:r>
      <w:r>
        <w:rPr>
          <w:rFonts w:ascii="Times New Roman" w:hAnsi="Times New Roman" w:cs="Times New Roman"/>
        </w:rPr>
        <w:t>.</w:t>
      </w:r>
    </w:p>
    <w:p w:rsidR="00357AB3" w:rsidRDefault="00357AB3" w:rsidP="00D00627">
      <w:pPr>
        <w:spacing w:after="0" w:line="360" w:lineRule="auto"/>
        <w:ind w:firstLine="709"/>
        <w:jc w:val="both"/>
        <w:rPr>
          <w:rFonts w:ascii="Times New Roman" w:hAnsi="Times New Roman" w:cs="Times New Roman"/>
        </w:rPr>
      </w:pPr>
      <w:r>
        <w:rPr>
          <w:rFonts w:ascii="Times New Roman" w:hAnsi="Times New Roman" w:cs="Times New Roman"/>
        </w:rPr>
        <w:t xml:space="preserve">Quando però può dirsi che la modifica di una norma ‘extrapenale’ </w:t>
      </w:r>
      <w:r w:rsidRPr="008B0057">
        <w:rPr>
          <w:rFonts w:ascii="Times New Roman" w:hAnsi="Times New Roman" w:cs="Times New Roman"/>
          <w:i/>
          <w:iCs/>
        </w:rPr>
        <w:t>incide sulla fattispecie legale astratta</w:t>
      </w:r>
      <w:r>
        <w:rPr>
          <w:rFonts w:ascii="Times New Roman" w:hAnsi="Times New Roman" w:cs="Times New Roman"/>
        </w:rPr>
        <w:t xml:space="preserve"> e, pertanto, è in grado di comportare </w:t>
      </w:r>
      <w:r w:rsidRPr="00D00627">
        <w:rPr>
          <w:rFonts w:ascii="Times New Roman" w:hAnsi="Times New Roman" w:cs="Times New Roman"/>
          <w:i/>
          <w:iCs/>
        </w:rPr>
        <w:t>abolitio criminis</w:t>
      </w:r>
      <w:r>
        <w:rPr>
          <w:rFonts w:ascii="Times New Roman" w:hAnsi="Times New Roman" w:cs="Times New Roman"/>
        </w:rPr>
        <w:t xml:space="preserve">? Una chiara risposta a questo </w:t>
      </w:r>
      <w:r w:rsidRPr="0045418B">
        <w:rPr>
          <w:rFonts w:ascii="Times New Roman" w:hAnsi="Times New Roman" w:cs="Times New Roman"/>
          <w:i/>
          <w:iCs/>
        </w:rPr>
        <w:t>cruciale</w:t>
      </w:r>
      <w:r>
        <w:rPr>
          <w:rFonts w:ascii="Times New Roman" w:hAnsi="Times New Roman" w:cs="Times New Roman"/>
        </w:rPr>
        <w:t xml:space="preserve"> interrogativo si legge nella sentenza </w:t>
      </w:r>
      <w:r w:rsidRPr="00147DBF">
        <w:rPr>
          <w:rFonts w:ascii="Times New Roman" w:hAnsi="Times New Roman" w:cs="Times New Roman"/>
          <w:b/>
          <w:bCs/>
        </w:rPr>
        <w:t>Magera</w:t>
      </w:r>
      <w:r>
        <w:rPr>
          <w:rFonts w:ascii="Times New Roman" w:hAnsi="Times New Roman" w:cs="Times New Roman"/>
        </w:rPr>
        <w:t xml:space="preserve">: “nell’ambito della fattispecie penale le norme extrapenali non svolgono tutte la stessa funzione […]; </w:t>
      </w:r>
      <w:r w:rsidRPr="00147DBF">
        <w:rPr>
          <w:rFonts w:ascii="Times New Roman" w:hAnsi="Times New Roman" w:cs="Times New Roman"/>
          <w:i/>
          <w:iCs/>
        </w:rPr>
        <w:t>occorre operare una distinzione tra le norme integratrici della fattispecie penale e quelle che tali non possono essere considerate</w:t>
      </w:r>
      <w:r>
        <w:rPr>
          <w:rFonts w:ascii="Times New Roman" w:hAnsi="Times New Roman" w:cs="Times New Roman"/>
          <w:i/>
          <w:iCs/>
        </w:rPr>
        <w:t xml:space="preserve">. </w:t>
      </w:r>
      <w:r>
        <w:rPr>
          <w:rFonts w:ascii="Times New Roman" w:hAnsi="Times New Roman" w:cs="Times New Roman"/>
        </w:rPr>
        <w:t xml:space="preserve">[…] </w:t>
      </w:r>
      <w:r w:rsidRPr="000E60CE">
        <w:rPr>
          <w:rFonts w:ascii="Times New Roman" w:hAnsi="Times New Roman" w:cs="Times New Roman"/>
          <w:i/>
          <w:iCs/>
        </w:rPr>
        <w:t>una</w:t>
      </w:r>
      <w:r>
        <w:rPr>
          <w:rFonts w:ascii="Times New Roman" w:hAnsi="Times New Roman" w:cs="Times New Roman"/>
          <w:i/>
          <w:iCs/>
        </w:rPr>
        <w:t xml:space="preserve"> nuova legge extrapenale può avere, di regola, un effetto retroattivo, solo se integra la fattispecie penale, venendo a partecipare della sua natura, e ciò avviene, come nel caso delle </w:t>
      </w:r>
      <w:r w:rsidRPr="00BC2EFE">
        <w:rPr>
          <w:rFonts w:ascii="Times New Roman" w:hAnsi="Times New Roman" w:cs="Times New Roman"/>
          <w:i/>
          <w:iCs/>
        </w:rPr>
        <w:t>disposizioni definitorie</w:t>
      </w:r>
      <w:r>
        <w:rPr>
          <w:rFonts w:ascii="Times New Roman" w:hAnsi="Times New Roman" w:cs="Times New Roman"/>
          <w:i/>
          <w:iCs/>
        </w:rPr>
        <w:t>, se la disposizione extrapenale può sostituire idealmente la parte della disposizione penale che la richiama</w:t>
      </w:r>
      <w:r>
        <w:rPr>
          <w:rFonts w:ascii="Times New Roman" w:hAnsi="Times New Roman" w:cs="Times New Roman"/>
        </w:rPr>
        <w:t xml:space="preserve">”, ovvero, come nel caso delle </w:t>
      </w:r>
      <w:r w:rsidRPr="00BC2EFE">
        <w:rPr>
          <w:rFonts w:ascii="Times New Roman" w:hAnsi="Times New Roman" w:cs="Times New Roman"/>
          <w:i/>
          <w:iCs/>
        </w:rPr>
        <w:t>norme penali in bianco</w:t>
      </w:r>
      <w:r>
        <w:rPr>
          <w:rFonts w:ascii="Times New Roman" w:hAnsi="Times New Roman" w:cs="Times New Roman"/>
        </w:rPr>
        <w:t>, se costituisce addirittura il precetto</w:t>
      </w:r>
      <w:r>
        <w:rPr>
          <w:rStyle w:val="FootnoteReference"/>
          <w:rFonts w:ascii="Times New Roman" w:hAnsi="Times New Roman" w:cs="Times New Roman"/>
        </w:rPr>
        <w:footnoteReference w:id="38"/>
      </w:r>
      <w:r>
        <w:rPr>
          <w:rFonts w:ascii="Times New Roman" w:hAnsi="Times New Roman" w:cs="Times New Roman"/>
        </w:rPr>
        <w:t>.</w:t>
      </w:r>
    </w:p>
    <w:p w:rsidR="00357AB3" w:rsidRDefault="00357AB3" w:rsidP="00E97332">
      <w:pPr>
        <w:spacing w:after="0" w:line="360" w:lineRule="auto"/>
        <w:ind w:firstLine="709"/>
        <w:jc w:val="both"/>
        <w:rPr>
          <w:rFonts w:ascii="Times New Roman" w:hAnsi="Times New Roman" w:cs="Times New Roman"/>
        </w:rPr>
      </w:pPr>
      <w:r>
        <w:rPr>
          <w:rFonts w:ascii="Times New Roman" w:hAnsi="Times New Roman" w:cs="Times New Roman"/>
        </w:rPr>
        <w:t xml:space="preserve">Nel percorrere la via della distinzione tra norme integratrici e norme non integratrici, un passaggio centrale della motivazione della sentenza </w:t>
      </w:r>
      <w:r w:rsidRPr="00D34B56">
        <w:rPr>
          <w:rFonts w:ascii="Times New Roman" w:hAnsi="Times New Roman" w:cs="Times New Roman"/>
          <w:b/>
          <w:bCs/>
        </w:rPr>
        <w:t>Magera</w:t>
      </w:r>
      <w:r>
        <w:rPr>
          <w:rFonts w:ascii="Times New Roman" w:hAnsi="Times New Roman" w:cs="Times New Roman"/>
        </w:rPr>
        <w:t xml:space="preserve"> sottolinea peraltro opportunamente come si tratti di </w:t>
      </w:r>
      <w:r w:rsidRPr="00F661E8">
        <w:rPr>
          <w:rFonts w:ascii="Times New Roman" w:hAnsi="Times New Roman" w:cs="Times New Roman"/>
          <w:i/>
          <w:iCs/>
        </w:rPr>
        <w:t>distinzione possibile e imposta dalla legge</w:t>
      </w:r>
      <w:r>
        <w:rPr>
          <w:rFonts w:ascii="Times New Roman" w:hAnsi="Times New Roman" w:cs="Times New Roman"/>
        </w:rPr>
        <w:t xml:space="preserve">: </w:t>
      </w:r>
      <w:r w:rsidRPr="00961B2C">
        <w:rPr>
          <w:rFonts w:ascii="Times New Roman" w:hAnsi="Times New Roman" w:cs="Times New Roman"/>
          <w:i/>
          <w:iCs/>
        </w:rPr>
        <w:t>“è una distinzione alla quale si ricorre anche nell’applicazione del terzo comma dell’art. 47 c.p., per decidere se un errore su una legge diversa da quella penale escluda o meno la punibilità, e non è questa la sede per stabilire se ai fini dell’art. 2 e dell’art. 47 c.p. la qualificazione di una norma extrapenale debba essere la stessa</w:t>
      </w:r>
      <w:r w:rsidRPr="00F661E8">
        <w:rPr>
          <w:rStyle w:val="FootnoteReference"/>
          <w:rFonts w:ascii="Times New Roman" w:hAnsi="Times New Roman" w:cs="Times New Roman"/>
        </w:rPr>
        <w:footnoteReference w:id="39"/>
      </w:r>
      <w:r w:rsidRPr="00961B2C">
        <w:rPr>
          <w:rFonts w:ascii="Times New Roman" w:hAnsi="Times New Roman" w:cs="Times New Roman"/>
          <w:i/>
          <w:iCs/>
        </w:rPr>
        <w:t>; qui è sufficiente considerare che nell’art. 47 c.p. il legislatore ha riconosciuto l’esistenza di leggi diverse da quelle penali, alle quali ha ricollegato un diverso trattamento dell’errore, e non è arbitrario pensare che anche agli effetti dell’art. 2 c.p. le leggi diverse da quelle penali possano avere trattamenti diversi”</w:t>
      </w:r>
      <w:r>
        <w:rPr>
          <w:rFonts w:ascii="Times New Roman" w:hAnsi="Times New Roman" w:cs="Times New Roman"/>
        </w:rPr>
        <w:t>.</w:t>
      </w:r>
    </w:p>
    <w:p w:rsidR="00357AB3" w:rsidRDefault="00357AB3" w:rsidP="00E97332">
      <w:pPr>
        <w:spacing w:after="0" w:line="360" w:lineRule="auto"/>
        <w:ind w:firstLine="709"/>
        <w:jc w:val="both"/>
        <w:rPr>
          <w:rFonts w:ascii="Times New Roman" w:hAnsi="Times New Roman" w:cs="Times New Roman"/>
        </w:rPr>
      </w:pPr>
    </w:p>
    <w:p w:rsidR="00357AB3" w:rsidRPr="00E97332" w:rsidRDefault="00357AB3" w:rsidP="00E97332">
      <w:pPr>
        <w:spacing w:after="0" w:line="360" w:lineRule="auto"/>
        <w:ind w:firstLine="709"/>
        <w:jc w:val="both"/>
        <w:rPr>
          <w:rFonts w:ascii="Times New Roman" w:hAnsi="Times New Roman" w:cs="Times New Roman"/>
        </w:rPr>
      </w:pPr>
      <w:r w:rsidRPr="00E97332">
        <w:rPr>
          <w:rFonts w:ascii="Times New Roman" w:hAnsi="Times New Roman" w:cs="Times New Roman"/>
          <w:b/>
          <w:bCs/>
        </w:rPr>
        <w:t xml:space="preserve">5. Soluzione, alla luce del ‘criterio strutturale’, dei diversi casi affrontati dalle S.U. </w:t>
      </w:r>
    </w:p>
    <w:p w:rsidR="00357AB3" w:rsidRDefault="00357AB3" w:rsidP="00F661E8">
      <w:pPr>
        <w:spacing w:after="0" w:line="360" w:lineRule="auto"/>
        <w:ind w:firstLine="709"/>
        <w:jc w:val="both"/>
        <w:rPr>
          <w:rFonts w:ascii="Times New Roman" w:hAnsi="Times New Roman" w:cs="Times New Roman"/>
          <w:b/>
          <w:bCs/>
        </w:rPr>
      </w:pPr>
    </w:p>
    <w:p w:rsidR="00357AB3" w:rsidRDefault="00357AB3" w:rsidP="00D00627">
      <w:pPr>
        <w:spacing w:after="0" w:line="360" w:lineRule="auto"/>
        <w:ind w:firstLine="709"/>
        <w:jc w:val="both"/>
        <w:rPr>
          <w:rFonts w:ascii="Times New Roman" w:hAnsi="Times New Roman" w:cs="Times New Roman"/>
        </w:rPr>
      </w:pPr>
      <w:r>
        <w:rPr>
          <w:rFonts w:ascii="Times New Roman" w:hAnsi="Times New Roman" w:cs="Times New Roman"/>
        </w:rPr>
        <w:t xml:space="preserve">In applicazione dei principi di diritto sopra esposti, le sentenze </w:t>
      </w:r>
      <w:r w:rsidRPr="008E6900">
        <w:rPr>
          <w:rFonts w:ascii="Times New Roman" w:hAnsi="Times New Roman" w:cs="Times New Roman"/>
          <w:b/>
          <w:bCs/>
        </w:rPr>
        <w:t>Magera</w:t>
      </w:r>
      <w:r>
        <w:rPr>
          <w:rFonts w:ascii="Times New Roman" w:hAnsi="Times New Roman" w:cs="Times New Roman"/>
        </w:rPr>
        <w:t xml:space="preserve"> e </w:t>
      </w:r>
      <w:r w:rsidRPr="008E6900">
        <w:rPr>
          <w:rFonts w:ascii="Times New Roman" w:hAnsi="Times New Roman" w:cs="Times New Roman"/>
          <w:b/>
          <w:bCs/>
        </w:rPr>
        <w:t>Niccoli</w:t>
      </w:r>
      <w:r>
        <w:rPr>
          <w:rFonts w:ascii="Times New Roman" w:hAnsi="Times New Roman" w:cs="Times New Roman"/>
        </w:rPr>
        <w:t xml:space="preserve"> hanno negato l’</w:t>
      </w:r>
      <w:r w:rsidRPr="008E6900">
        <w:rPr>
          <w:rFonts w:ascii="Times New Roman" w:hAnsi="Times New Roman" w:cs="Times New Roman"/>
          <w:i/>
          <w:iCs/>
        </w:rPr>
        <w:t>abolitio criminis</w:t>
      </w:r>
      <w:r>
        <w:rPr>
          <w:rFonts w:ascii="Times New Roman" w:hAnsi="Times New Roman" w:cs="Times New Roman"/>
        </w:rPr>
        <w:t>,</w:t>
      </w:r>
      <w:r w:rsidRPr="008E6900">
        <w:rPr>
          <w:rFonts w:ascii="Times New Roman" w:hAnsi="Times New Roman" w:cs="Times New Roman"/>
          <w:i/>
          <w:iCs/>
        </w:rPr>
        <w:t xml:space="preserve"> </w:t>
      </w:r>
      <w:r>
        <w:rPr>
          <w:rFonts w:ascii="Times New Roman" w:hAnsi="Times New Roman" w:cs="Times New Roman"/>
        </w:rPr>
        <w:t xml:space="preserve">nei casi rispettivamente affrontati, dopo aver escluso che le norme extrapenali venute in rilievo possano essere qualificate come norme </w:t>
      </w:r>
      <w:r w:rsidRPr="00E97332">
        <w:rPr>
          <w:rFonts w:ascii="Times New Roman" w:hAnsi="Times New Roman" w:cs="Times New Roman"/>
          <w:i/>
          <w:iCs/>
        </w:rPr>
        <w:t>integratrici</w:t>
      </w:r>
      <w:r>
        <w:rPr>
          <w:rFonts w:ascii="Times New Roman" w:hAnsi="Times New Roman" w:cs="Times New Roman"/>
        </w:rPr>
        <w:t xml:space="preserve">, capaci, modificandosi, di incidere </w:t>
      </w:r>
      <w:r w:rsidRPr="00E97332">
        <w:rPr>
          <w:rFonts w:ascii="Times New Roman" w:hAnsi="Times New Roman" w:cs="Times New Roman"/>
          <w:i/>
          <w:iCs/>
        </w:rPr>
        <w:t>sulla fisionomia della fattispecie penale</w:t>
      </w:r>
      <w:r>
        <w:rPr>
          <w:rFonts w:ascii="Times New Roman" w:hAnsi="Times New Roman" w:cs="Times New Roman"/>
        </w:rPr>
        <w:t>.</w:t>
      </w:r>
    </w:p>
    <w:p w:rsidR="00357AB3" w:rsidRDefault="00357AB3" w:rsidP="00D00627">
      <w:pPr>
        <w:spacing w:after="0" w:line="360" w:lineRule="auto"/>
        <w:ind w:firstLine="709"/>
        <w:jc w:val="both"/>
        <w:rPr>
          <w:rFonts w:ascii="Times New Roman" w:hAnsi="Times New Roman" w:cs="Times New Roman"/>
        </w:rPr>
      </w:pPr>
      <w:r w:rsidRPr="0045418B">
        <w:rPr>
          <w:rFonts w:ascii="Times New Roman" w:hAnsi="Times New Roman" w:cs="Times New Roman"/>
          <w:b/>
          <w:bCs/>
        </w:rPr>
        <w:t>a)</w:t>
      </w:r>
      <w:r>
        <w:rPr>
          <w:rFonts w:ascii="Times New Roman" w:hAnsi="Times New Roman" w:cs="Times New Roman"/>
        </w:rPr>
        <w:t xml:space="preserve"> Secondo la sentenza </w:t>
      </w:r>
      <w:r w:rsidRPr="00BB3627">
        <w:rPr>
          <w:rFonts w:ascii="Times New Roman" w:hAnsi="Times New Roman" w:cs="Times New Roman"/>
          <w:b/>
          <w:bCs/>
        </w:rPr>
        <w:t>Magera</w:t>
      </w:r>
      <w:r>
        <w:rPr>
          <w:rFonts w:ascii="Times New Roman" w:hAnsi="Times New Roman" w:cs="Times New Roman"/>
        </w:rPr>
        <w:t xml:space="preserve">, l’ingresso di uno Stato nell’UE, così come in ipotesi la sua esclusione, “non modifica, sia pure in modo mediato, la fattispecie penale [di cui all’art. 14, co. 5 </w:t>
      </w:r>
      <w:r w:rsidRPr="008E6900">
        <w:rPr>
          <w:rFonts w:ascii="Times New Roman" w:hAnsi="Times New Roman" w:cs="Times New Roman"/>
          <w:i/>
          <w:iCs/>
        </w:rPr>
        <w:t>ter</w:t>
      </w:r>
      <w:r>
        <w:rPr>
          <w:rFonts w:ascii="Times New Roman" w:hAnsi="Times New Roman" w:cs="Times New Roman"/>
        </w:rPr>
        <w:t xml:space="preserve"> t.u. imm.], ma costituisce un mero dato di fatto, anche se frutto di un’attività normativa</w:t>
      </w:r>
      <w:r>
        <w:rPr>
          <w:rStyle w:val="FootnoteReference"/>
          <w:rFonts w:ascii="Times New Roman" w:hAnsi="Times New Roman" w:cs="Times New Roman"/>
        </w:rPr>
        <w:footnoteReference w:id="40"/>
      </w:r>
      <w:r>
        <w:rPr>
          <w:rFonts w:ascii="Times New Roman" w:hAnsi="Times New Roman" w:cs="Times New Roman"/>
        </w:rPr>
        <w:t xml:space="preserve">. Si realizzerebbe una modifica della fattispecie legale, e conseguentemente una parziale </w:t>
      </w:r>
      <w:r w:rsidRPr="00A36302">
        <w:rPr>
          <w:rFonts w:ascii="Times New Roman" w:hAnsi="Times New Roman" w:cs="Times New Roman"/>
          <w:i/>
          <w:iCs/>
        </w:rPr>
        <w:t>abolitio criminis</w:t>
      </w:r>
      <w:r>
        <w:rPr>
          <w:rFonts w:ascii="Times New Roman" w:hAnsi="Times New Roman" w:cs="Times New Roman"/>
        </w:rPr>
        <w:t xml:space="preserve">, se il legislatore modificasse la norma, essa sì integratrice, che definendo il concetto di «straniero» individua il soggetto attivo del reato di cui si tratta: “se dalla categoria venisse escluso il cittadino di uno Stato in attesa di adesione all’Unione [ovvero l’apolide] sarebbe la stessa fattispecie penale a risultare diversa e a vedersi sottrarre una parte della sua sfera di applicazione, secondo lo schema tipico dell’abolizione parziale, riconducibile all’art. 2, comma 2 c.p. (Sez. Un. 26 marzo 2003, n. 25887, Giordano). In un caso del genere dall’ambito della precedente fattispecie verrebbe esclusa una sottoclasse, quella relativa ai cittadini di Paesi candidati all’ingresso nell’Unione europea [o agli apolidi] e rispetto a questa sottoclasse si potrebbe parlare di </w:t>
      </w:r>
      <w:r w:rsidRPr="00E97332">
        <w:rPr>
          <w:rFonts w:ascii="Times New Roman" w:hAnsi="Times New Roman" w:cs="Times New Roman"/>
          <w:i/>
          <w:iCs/>
        </w:rPr>
        <w:t>abolitio criminis</w:t>
      </w:r>
      <w:r>
        <w:rPr>
          <w:rFonts w:ascii="Times New Roman" w:hAnsi="Times New Roman" w:cs="Times New Roman"/>
        </w:rPr>
        <w:t>, come avviene quando in una vicenda di successione di leggi penali una fattispecie più ampia viene sostituita con una più limitata […], facendo venire meno la punibilità dei fatti che, pur integrando precedentemente il reato, non rientrano nella nuova fattispecie”</w:t>
      </w:r>
      <w:r>
        <w:rPr>
          <w:rStyle w:val="FootnoteReference"/>
          <w:rFonts w:ascii="Times New Roman" w:hAnsi="Times New Roman" w:cs="Times New Roman"/>
        </w:rPr>
        <w:footnoteReference w:id="41"/>
      </w:r>
      <w:r>
        <w:rPr>
          <w:rFonts w:ascii="Times New Roman" w:hAnsi="Times New Roman" w:cs="Times New Roman"/>
        </w:rPr>
        <w:t>.</w:t>
      </w:r>
    </w:p>
    <w:p w:rsidR="00357AB3" w:rsidRPr="0044467F" w:rsidRDefault="00357AB3" w:rsidP="0044467F">
      <w:pPr>
        <w:spacing w:after="0" w:line="360" w:lineRule="auto"/>
        <w:ind w:firstLine="709"/>
        <w:jc w:val="both"/>
        <w:rPr>
          <w:rFonts w:ascii="Times New Roman" w:hAnsi="Times New Roman" w:cs="Times New Roman"/>
        </w:rPr>
      </w:pPr>
      <w:r w:rsidRPr="0045418B">
        <w:rPr>
          <w:rFonts w:ascii="Times New Roman" w:hAnsi="Times New Roman" w:cs="Times New Roman"/>
          <w:b/>
          <w:bCs/>
        </w:rPr>
        <w:t>b)</w:t>
      </w:r>
      <w:r>
        <w:rPr>
          <w:rFonts w:ascii="Times New Roman" w:hAnsi="Times New Roman" w:cs="Times New Roman"/>
        </w:rPr>
        <w:t xml:space="preserve"> Secondo la sentenza </w:t>
      </w:r>
      <w:r w:rsidRPr="00BB3627">
        <w:rPr>
          <w:rFonts w:ascii="Times New Roman" w:hAnsi="Times New Roman" w:cs="Times New Roman"/>
          <w:b/>
          <w:bCs/>
        </w:rPr>
        <w:t>Niccoli</w:t>
      </w:r>
      <w:r>
        <w:rPr>
          <w:rFonts w:ascii="Times New Roman" w:hAnsi="Times New Roman" w:cs="Times New Roman"/>
        </w:rPr>
        <w:t>, la modifica dei requisiti perché l’imprenditore sia assoggettabile al fallimento non incide sulla fattispecie di bancarotta: “</w:t>
      </w:r>
      <w:r w:rsidRPr="00926B8B">
        <w:rPr>
          <w:rFonts w:ascii="Times New Roman" w:hAnsi="Times New Roman" w:cs="Times New Roman"/>
          <w:i/>
          <w:iCs/>
        </w:rPr>
        <w:t>i nuovi contenuti dell’art. 1 l. fall. non incidono su un dato strutturale del paradigma della bancarotta (semplice o fraudolenta)</w:t>
      </w:r>
      <w:r>
        <w:rPr>
          <w:rFonts w:ascii="Times New Roman" w:hAnsi="Times New Roman" w:cs="Times New Roman"/>
        </w:rPr>
        <w:t>, ma sulle condizioni di fatto per la dichiarazione di fallimento, sicché non possono dirsi norme extrapenali che interferiscono sulla fattispecie penale”</w:t>
      </w:r>
      <w:r>
        <w:rPr>
          <w:rStyle w:val="FootnoteReference"/>
          <w:rFonts w:ascii="Times New Roman" w:hAnsi="Times New Roman" w:cs="Times New Roman"/>
        </w:rPr>
        <w:footnoteReference w:id="42"/>
      </w:r>
      <w:r>
        <w:rPr>
          <w:rFonts w:ascii="Times New Roman" w:hAnsi="Times New Roman" w:cs="Times New Roman"/>
        </w:rPr>
        <w:t xml:space="preserve">. Secondo le S.U., infatti, “nella struttura dei reati di bancarotta la dichiarazione di fallimento assume rilevanza nella sua natura di provvedimento giurisdizionale, e non per i fatti con essa accertati”: ciò che rileva è l’esistenza di una sentenza dichiarativa di fallimento, a prescindere dalle condizioni di fatto normativamente richieste per la dichiarazione di fallimento. Se muta la definizione dei presupposti perché un provvedimento giurisdizionale richiamato dalla fattispecie penale possa essere adottato, non può dirsi che le norme sopravvenute incidano </w:t>
      </w:r>
      <w:r w:rsidRPr="00237108">
        <w:rPr>
          <w:rFonts w:ascii="Times New Roman" w:hAnsi="Times New Roman" w:cs="Times New Roman"/>
          <w:i/>
          <w:iCs/>
        </w:rPr>
        <w:t>sulla struttura</w:t>
      </w:r>
      <w:r>
        <w:rPr>
          <w:rFonts w:ascii="Times New Roman" w:hAnsi="Times New Roman" w:cs="Times New Roman"/>
        </w:rPr>
        <w:t xml:space="preserve"> del reato. Questa infatti continua pur sempre a richiedere, quale elemento costitutivo del fatto, l’esistenza di una sentenza dichiarativa di fallimento che, una volta intervenuta e passata in giudicato, è un dato di fatto non modificabile. Non solo, abbandonando il più recente orientamento di legittimità sul punto, le S.U. giungono ad affermare – e finiscono per porre al centro della motivazione della loro sentenza – </w:t>
      </w:r>
      <w:r w:rsidRPr="00926B8B">
        <w:rPr>
          <w:rFonts w:ascii="Times New Roman" w:hAnsi="Times New Roman" w:cs="Times New Roman"/>
          <w:i/>
          <w:iCs/>
        </w:rPr>
        <w:t>l’insindacabilità da parte del giudice penale della sentenza dichiarativa di fallimento</w:t>
      </w:r>
      <w:r>
        <w:rPr>
          <w:rFonts w:ascii="Times New Roman" w:hAnsi="Times New Roman" w:cs="Times New Roman"/>
        </w:rPr>
        <w:t xml:space="preserve">, che vincolerebbe il giudice penale quale elemento della fattispecie, e non quale questione pregiudiziale: “quando elemento della fattispecie è una sentenza, il giudice penale non è abilitato a compiere alcuna valutazione, neppure incidentale, sulla legittimità di essa, perché le sentenze, a prescindere dalla loro definitività, hanno un valore </w:t>
      </w:r>
      <w:r w:rsidRPr="00237108">
        <w:rPr>
          <w:rFonts w:ascii="Times New Roman" w:hAnsi="Times New Roman" w:cs="Times New Roman"/>
          <w:i/>
          <w:iCs/>
        </w:rPr>
        <w:t>erga omnes</w:t>
      </w:r>
      <w:r>
        <w:rPr>
          <w:rFonts w:ascii="Times New Roman" w:hAnsi="Times New Roman" w:cs="Times New Roman"/>
        </w:rPr>
        <w:t xml:space="preserve"> che può essere messo in discussione solo in via principale, con i rimedi previsti dall’ordinamento per gli errori giudiziari (e cioè con i mezzi ordinari o straordinari di impugnazione previsti dalla disciplina processuale)”</w:t>
      </w:r>
      <w:r>
        <w:rPr>
          <w:rStyle w:val="FootnoteReference"/>
          <w:rFonts w:ascii="Times New Roman" w:hAnsi="Times New Roman" w:cs="Times New Roman"/>
        </w:rPr>
        <w:footnoteReference w:id="43"/>
      </w:r>
      <w:r>
        <w:rPr>
          <w:rFonts w:ascii="Times New Roman" w:hAnsi="Times New Roman" w:cs="Times New Roman"/>
        </w:rPr>
        <w:t>. Il tempo a disposizione non consente di  soffermarci criticamente sulla sentenza Niccoli: non può però farsi a meno di far notare come se le S.U. avessero riconosciuto, come noi riteniamo</w:t>
      </w:r>
      <w:r>
        <w:rPr>
          <w:rStyle w:val="FootnoteReference"/>
          <w:rFonts w:ascii="Times New Roman" w:hAnsi="Times New Roman" w:cs="Times New Roman"/>
        </w:rPr>
        <w:footnoteReference w:id="44"/>
      </w:r>
      <w:r>
        <w:rPr>
          <w:rFonts w:ascii="Times New Roman" w:hAnsi="Times New Roman" w:cs="Times New Roman"/>
        </w:rPr>
        <w:t xml:space="preserve">, che l’art. 1 l. fall. contiene una </w:t>
      </w:r>
      <w:r w:rsidRPr="00E97332">
        <w:rPr>
          <w:rFonts w:ascii="Times New Roman" w:hAnsi="Times New Roman" w:cs="Times New Roman"/>
          <w:i/>
          <w:iCs/>
        </w:rPr>
        <w:t>norma definitoria</w:t>
      </w:r>
      <w:r>
        <w:rPr>
          <w:rFonts w:ascii="Times New Roman" w:hAnsi="Times New Roman" w:cs="Times New Roman"/>
        </w:rPr>
        <w:t xml:space="preserve"> del concetto di ‘imprenditore fallito’, soggetto attivo della bancarotta, avrebbero dovuto affermare, per coerenza con il criterio strutturale e con quanto affermato dalla richiamata sentenza Magera, che la modifica di quella definizione (cioè dei presupposti per l’assoggettabilità dell’imprenditore al fallimento) incide sulla fattispecie legale, ed è, almeno in via di principio, in grado di comportare </w:t>
      </w:r>
      <w:r w:rsidRPr="00F32E2A">
        <w:rPr>
          <w:rFonts w:ascii="Times New Roman" w:hAnsi="Times New Roman" w:cs="Times New Roman"/>
          <w:i/>
          <w:iCs/>
        </w:rPr>
        <w:t>abolitio criminis</w:t>
      </w:r>
      <w:r>
        <w:rPr>
          <w:rFonts w:ascii="Times New Roman" w:hAnsi="Times New Roman" w:cs="Times New Roman"/>
        </w:rPr>
        <w:t xml:space="preserve"> allorché, come nel caso di specie, amplia il novero degli imprenditori esonerati  dal fallimento. Sennonché le S.U., come emerge dalla motivazione della sentenza, avrebbero comunque negato l’</w:t>
      </w:r>
      <w:r w:rsidRPr="0044467F">
        <w:rPr>
          <w:rFonts w:ascii="Times New Roman" w:hAnsi="Times New Roman" w:cs="Times New Roman"/>
          <w:i/>
          <w:iCs/>
        </w:rPr>
        <w:t>abolitio criminis</w:t>
      </w:r>
      <w:r w:rsidRPr="0044467F">
        <w:rPr>
          <w:rStyle w:val="FootnoteReference"/>
          <w:rFonts w:ascii="Times New Roman" w:hAnsi="Times New Roman" w:cs="Times New Roman"/>
        </w:rPr>
        <w:footnoteReference w:id="45"/>
      </w:r>
      <w:r>
        <w:rPr>
          <w:rFonts w:ascii="Times New Roman" w:hAnsi="Times New Roman" w:cs="Times New Roman"/>
        </w:rPr>
        <w:t>: “ove anche si fosse potuta assumere una incidenza nelle fattispecie di bancarotta delle modifiche recate all’art. 1 l. fall.” l’</w:t>
      </w:r>
      <w:r w:rsidRPr="0044467F">
        <w:rPr>
          <w:rFonts w:ascii="Times New Roman" w:hAnsi="Times New Roman" w:cs="Times New Roman"/>
          <w:i/>
          <w:iCs/>
        </w:rPr>
        <w:t>abolitio criminis</w:t>
      </w:r>
      <w:r>
        <w:rPr>
          <w:rFonts w:ascii="Times New Roman" w:hAnsi="Times New Roman" w:cs="Times New Roman"/>
        </w:rPr>
        <w:t xml:space="preserve"> dovrebbe escludersi in applicazione della disciplina transitoria prevista dalla riforma della legge fallimentare (art. 150 d.lgs. n. 5/2006), che opererebbe in deroga all’art. 2 c.p., e ai sensi della quale « i ricorsi per dichiarazione di fallimento e le domande di concordato fallimentare depositate  prima dell’entrata in vigore del presente decreto, nonché le procedure di fallimento e di concordato fallimentare pendenti alla stessa data, sono definiti secondo la legge anteriore»</w:t>
      </w:r>
      <w:r>
        <w:rPr>
          <w:rStyle w:val="FootnoteReference"/>
          <w:rFonts w:ascii="Times New Roman" w:hAnsi="Times New Roman" w:cs="Times New Roman"/>
        </w:rPr>
        <w:footnoteReference w:id="46"/>
      </w:r>
      <w:r>
        <w:rPr>
          <w:rFonts w:ascii="Times New Roman" w:hAnsi="Times New Roman" w:cs="Times New Roman"/>
        </w:rPr>
        <w:t>.</w:t>
      </w:r>
    </w:p>
    <w:p w:rsidR="00357AB3" w:rsidRDefault="00357AB3" w:rsidP="00D00627">
      <w:pPr>
        <w:spacing w:after="0" w:line="360" w:lineRule="auto"/>
        <w:ind w:firstLine="709"/>
        <w:jc w:val="both"/>
        <w:rPr>
          <w:rFonts w:ascii="Times New Roman" w:hAnsi="Times New Roman" w:cs="Times New Roman"/>
        </w:rPr>
      </w:pPr>
      <w:r w:rsidRPr="0045418B">
        <w:rPr>
          <w:rFonts w:ascii="Times New Roman" w:hAnsi="Times New Roman" w:cs="Times New Roman"/>
          <w:b/>
          <w:bCs/>
        </w:rPr>
        <w:t>c)</w:t>
      </w:r>
      <w:r>
        <w:rPr>
          <w:rFonts w:ascii="Times New Roman" w:hAnsi="Times New Roman" w:cs="Times New Roman"/>
        </w:rPr>
        <w:t xml:space="preserve"> Quanto infine alla sentenza </w:t>
      </w:r>
      <w:r w:rsidRPr="00237108">
        <w:rPr>
          <w:rFonts w:ascii="Times New Roman" w:hAnsi="Times New Roman" w:cs="Times New Roman"/>
          <w:b/>
          <w:bCs/>
        </w:rPr>
        <w:t>Rizzoli</w:t>
      </w:r>
      <w:r>
        <w:rPr>
          <w:rFonts w:ascii="Times New Roman" w:hAnsi="Times New Roman" w:cs="Times New Roman"/>
        </w:rPr>
        <w:t>, che al contrario delle sentenze Magera e Niccoli ha affermato l’</w:t>
      </w:r>
      <w:r w:rsidRPr="00237108">
        <w:rPr>
          <w:rFonts w:ascii="Times New Roman" w:hAnsi="Times New Roman" w:cs="Times New Roman"/>
          <w:i/>
          <w:iCs/>
        </w:rPr>
        <w:t>abolitio criminis</w:t>
      </w:r>
      <w:r>
        <w:rPr>
          <w:rFonts w:ascii="Times New Roman" w:hAnsi="Times New Roman" w:cs="Times New Roman"/>
        </w:rPr>
        <w:t>, va messo in rilievo quel che le S.U. hanno correttamente osservato in via preliminare e, cioè, che nel caso sottoposto al loro esame, contrariamente a quanto prospettato dall’ordinanza di rimessione della Prima Sezione</w:t>
      </w:r>
      <w:r>
        <w:rPr>
          <w:rStyle w:val="FootnoteReference"/>
          <w:rFonts w:ascii="Times New Roman" w:hAnsi="Times New Roman" w:cs="Times New Roman"/>
        </w:rPr>
        <w:footnoteReference w:id="47"/>
      </w:r>
      <w:r>
        <w:rPr>
          <w:rFonts w:ascii="Times New Roman" w:hAnsi="Times New Roman" w:cs="Times New Roman"/>
        </w:rPr>
        <w:t xml:space="preserve"> non si trattava di un’ipotesi di modifica ‘mediata’ legge penale, bensì di un caso di modifica ‘immediata’ della stessa. Ciò in quanto la riforma della legge fallimentare “non si è limitata a intervenire sulla normativa ‘esterna’ relativa [all’istituto dell’amministrazione controllata], ma </w:t>
      </w:r>
      <w:r w:rsidRPr="00465260">
        <w:rPr>
          <w:rFonts w:ascii="Times New Roman" w:hAnsi="Times New Roman" w:cs="Times New Roman"/>
          <w:i/>
          <w:iCs/>
        </w:rPr>
        <w:t xml:space="preserve">ha eliminato ogni riferimento </w:t>
      </w:r>
      <w:r>
        <w:rPr>
          <w:rFonts w:ascii="Times New Roman" w:hAnsi="Times New Roman" w:cs="Times New Roman"/>
        </w:rPr>
        <w:t xml:space="preserve">a questo </w:t>
      </w:r>
      <w:r w:rsidRPr="00465260">
        <w:rPr>
          <w:rFonts w:ascii="Times New Roman" w:hAnsi="Times New Roman" w:cs="Times New Roman"/>
          <w:i/>
          <w:iCs/>
        </w:rPr>
        <w:t>presente nella disposizione incriminatrice</w:t>
      </w:r>
      <w:r>
        <w:rPr>
          <w:rFonts w:ascii="Times New Roman" w:hAnsi="Times New Roman" w:cs="Times New Roman"/>
        </w:rPr>
        <w:t>, risultata, quindi, amputata di un suo elemento strutturale”. E proprio in ragione di tale modifica strutturale della fattispecie legale astratta le S.U. hanno riconosciuto l’</w:t>
      </w:r>
      <w:r w:rsidRPr="002F1A73">
        <w:rPr>
          <w:rFonts w:ascii="Times New Roman" w:hAnsi="Times New Roman" w:cs="Times New Roman"/>
          <w:i/>
          <w:iCs/>
        </w:rPr>
        <w:t xml:space="preserve">abolitio criminis </w:t>
      </w:r>
      <w:r>
        <w:rPr>
          <w:rFonts w:ascii="Times New Roman" w:hAnsi="Times New Roman" w:cs="Times New Roman"/>
        </w:rPr>
        <w:t>della bancarotta antecedentemente commessa in società ammesse all’amministrazione controllata.</w:t>
      </w:r>
    </w:p>
    <w:p w:rsidR="00357AB3" w:rsidRDefault="00357AB3" w:rsidP="00D00627">
      <w:pPr>
        <w:spacing w:after="0" w:line="360" w:lineRule="auto"/>
        <w:ind w:firstLine="709"/>
        <w:jc w:val="both"/>
        <w:rPr>
          <w:rFonts w:ascii="Times New Roman" w:hAnsi="Times New Roman" w:cs="Times New Roman"/>
        </w:rPr>
      </w:pPr>
      <w:r>
        <w:rPr>
          <w:rFonts w:ascii="Times New Roman" w:hAnsi="Times New Roman" w:cs="Times New Roman"/>
        </w:rPr>
        <w:t xml:space="preserve">A ben vedere – lo notiamo incidentalmente – il caso affrontato dalla sentenza Rizzoli offre lo spunto per sottolineare una distinzione spesso in ombra: un conto è la </w:t>
      </w:r>
      <w:r w:rsidRPr="00DF4175">
        <w:rPr>
          <w:rFonts w:ascii="Times New Roman" w:hAnsi="Times New Roman" w:cs="Times New Roman"/>
        </w:rPr>
        <w:t>modifica</w:t>
      </w:r>
      <w:r>
        <w:rPr>
          <w:rFonts w:ascii="Times New Roman" w:hAnsi="Times New Roman" w:cs="Times New Roman"/>
        </w:rPr>
        <w:t xml:space="preserve"> (nel caso di specie la soppressione) </w:t>
      </w:r>
      <w:r w:rsidRPr="00DF4175">
        <w:rPr>
          <w:rFonts w:ascii="Times New Roman" w:hAnsi="Times New Roman" w:cs="Times New Roman"/>
          <w:i/>
          <w:iCs/>
        </w:rPr>
        <w:t>di un elemento normativo</w:t>
      </w:r>
      <w:r>
        <w:rPr>
          <w:rFonts w:ascii="Times New Roman" w:hAnsi="Times New Roman" w:cs="Times New Roman"/>
        </w:rPr>
        <w:t xml:space="preserve"> della fattispecie penale (il termine «amministrazione controllata», nel testo dell’art. 236 l. fall.), che è modifica ‘immediata’ della fattispecie stessa, atteso che gli elementi normativi “partecipano alla descrizione della fattispecie legale”; altro è la modifica </w:t>
      </w:r>
      <w:r w:rsidRPr="00DF4175">
        <w:rPr>
          <w:rFonts w:ascii="Times New Roman" w:hAnsi="Times New Roman" w:cs="Times New Roman"/>
          <w:i/>
          <w:iCs/>
        </w:rPr>
        <w:t>delle norme richiamate dall’elemento normativo</w:t>
      </w:r>
      <w:r>
        <w:rPr>
          <w:rFonts w:ascii="Times New Roman" w:hAnsi="Times New Roman" w:cs="Times New Roman"/>
        </w:rPr>
        <w:t xml:space="preserve"> (ad es., della disciplina dell’amministrazione controllata, piuttosto che del fallimento o del concordato preventivo), che è modifica ‘mediata’, incapace di incidere sulla struttura della fattispecie legale e pertanto di comportare </w:t>
      </w:r>
      <w:r w:rsidRPr="00DF4175">
        <w:rPr>
          <w:rFonts w:ascii="Times New Roman" w:hAnsi="Times New Roman" w:cs="Times New Roman"/>
          <w:i/>
          <w:iCs/>
        </w:rPr>
        <w:t>abolitio criminis</w:t>
      </w:r>
      <w:r w:rsidRPr="00B76DFA">
        <w:rPr>
          <w:rStyle w:val="FootnoteReference"/>
          <w:rFonts w:ascii="Times New Roman" w:hAnsi="Times New Roman" w:cs="Times New Roman"/>
        </w:rPr>
        <w:footnoteReference w:id="48"/>
      </w:r>
      <w:r w:rsidRPr="00B76DFA">
        <w:rPr>
          <w:rFonts w:ascii="Times New Roman" w:hAnsi="Times New Roman" w:cs="Times New Roman"/>
        </w:rPr>
        <w:t>.</w:t>
      </w:r>
    </w:p>
    <w:p w:rsidR="00357AB3" w:rsidRDefault="00357AB3" w:rsidP="00D00627">
      <w:pPr>
        <w:spacing w:after="0" w:line="360" w:lineRule="auto"/>
        <w:ind w:firstLine="709"/>
        <w:jc w:val="both"/>
        <w:rPr>
          <w:rFonts w:ascii="Times New Roman" w:hAnsi="Times New Roman" w:cs="Times New Roman"/>
        </w:rPr>
      </w:pPr>
    </w:p>
    <w:p w:rsidR="00357AB3" w:rsidRPr="008D5F77" w:rsidRDefault="00357AB3" w:rsidP="008D5F77">
      <w:pPr>
        <w:spacing w:after="0" w:line="360" w:lineRule="auto"/>
        <w:ind w:firstLine="709"/>
        <w:jc w:val="both"/>
        <w:rPr>
          <w:rFonts w:ascii="Times New Roman" w:hAnsi="Times New Roman" w:cs="Times New Roman"/>
          <w:b/>
          <w:bCs/>
        </w:rPr>
      </w:pPr>
      <w:r w:rsidRPr="008D5F77">
        <w:rPr>
          <w:rFonts w:ascii="Times New Roman" w:hAnsi="Times New Roman" w:cs="Times New Roman"/>
          <w:b/>
          <w:bCs/>
        </w:rPr>
        <w:t xml:space="preserve">6. Considerazioni </w:t>
      </w:r>
      <w:r>
        <w:rPr>
          <w:rFonts w:ascii="Times New Roman" w:hAnsi="Times New Roman" w:cs="Times New Roman"/>
          <w:b/>
          <w:bCs/>
        </w:rPr>
        <w:t>conclusive</w:t>
      </w:r>
      <w:r w:rsidRPr="008D5F77">
        <w:rPr>
          <w:rFonts w:ascii="Times New Roman" w:hAnsi="Times New Roman" w:cs="Times New Roman"/>
          <w:b/>
          <w:bCs/>
        </w:rPr>
        <w:t>.</w:t>
      </w:r>
    </w:p>
    <w:p w:rsidR="00357AB3" w:rsidRDefault="00357AB3" w:rsidP="00237108">
      <w:pPr>
        <w:spacing w:after="0" w:line="360" w:lineRule="auto"/>
        <w:jc w:val="both"/>
        <w:rPr>
          <w:rFonts w:ascii="Times New Roman" w:hAnsi="Times New Roman" w:cs="Times New Roman"/>
        </w:rPr>
      </w:pPr>
    </w:p>
    <w:p w:rsidR="00357AB3" w:rsidRDefault="00357AB3" w:rsidP="00B76DFA">
      <w:pPr>
        <w:spacing w:after="0" w:line="360" w:lineRule="auto"/>
        <w:ind w:firstLine="709"/>
        <w:jc w:val="both"/>
        <w:rPr>
          <w:rFonts w:ascii="Times New Roman" w:hAnsi="Times New Roman" w:cs="Times New Roman"/>
        </w:rPr>
      </w:pPr>
      <w:r>
        <w:rPr>
          <w:rFonts w:ascii="Times New Roman" w:hAnsi="Times New Roman" w:cs="Times New Roman"/>
        </w:rPr>
        <w:t>Nonostante l’ultima giurisprudenza delle Sezioni Unite fornisca all’interprete chiare indicazioni in merito al criterio di accertamento dell’</w:t>
      </w:r>
      <w:r w:rsidRPr="00B76DFA">
        <w:rPr>
          <w:rFonts w:ascii="Times New Roman" w:hAnsi="Times New Roman" w:cs="Times New Roman"/>
          <w:i/>
          <w:iCs/>
        </w:rPr>
        <w:t xml:space="preserve">abolitio criminis </w:t>
      </w:r>
      <w:r>
        <w:rPr>
          <w:rFonts w:ascii="Times New Roman" w:hAnsi="Times New Roman" w:cs="Times New Roman"/>
        </w:rPr>
        <w:t xml:space="preserve">in caso di successione di norme “integratrici”, è ragionevole ritenere che la prassi continuerà a conoscere soluzioni non univoche. </w:t>
      </w:r>
    </w:p>
    <w:p w:rsidR="00357AB3" w:rsidRDefault="00357AB3" w:rsidP="00B76DFA">
      <w:pPr>
        <w:spacing w:after="0" w:line="360" w:lineRule="auto"/>
        <w:ind w:firstLine="709"/>
        <w:jc w:val="both"/>
        <w:rPr>
          <w:rFonts w:ascii="Times New Roman" w:hAnsi="Times New Roman" w:cs="Times New Roman"/>
        </w:rPr>
      </w:pPr>
      <w:r>
        <w:rPr>
          <w:rFonts w:ascii="Times New Roman" w:hAnsi="Times New Roman" w:cs="Times New Roman"/>
        </w:rPr>
        <w:t xml:space="preserve">Da un lato, perché il criterio ‘strutturale’, come d’altra parte ogni altro criterio ad esso alternativo, è sempre passibile di un’errata applicazione: lo dimostra, a noi pare, il caso affrontato dalla sentenza Niccoli, dove ci sembra – lo ribadiamo – che la Cassazione non abbia riconosciuto che la riforma dell’art. 1 l. fall. ha comportato una modifica della norma che definisce il concetto di ‘imprenditore fallito’, soggetto attivo della bancarotta, e, quindi, di una vera e propria norma </w:t>
      </w:r>
      <w:r w:rsidRPr="00CB7378">
        <w:rPr>
          <w:rFonts w:ascii="Times New Roman" w:hAnsi="Times New Roman" w:cs="Times New Roman"/>
          <w:i/>
          <w:iCs/>
        </w:rPr>
        <w:t>integratrice</w:t>
      </w:r>
      <w:r>
        <w:rPr>
          <w:rFonts w:ascii="Times New Roman" w:hAnsi="Times New Roman" w:cs="Times New Roman"/>
        </w:rPr>
        <w:t>, partecipe della struttura della fattispecie penale.</w:t>
      </w:r>
    </w:p>
    <w:p w:rsidR="00357AB3" w:rsidRDefault="00357AB3" w:rsidP="008D5F77">
      <w:pPr>
        <w:spacing w:after="0" w:line="360" w:lineRule="auto"/>
        <w:ind w:firstLine="709"/>
        <w:jc w:val="both"/>
        <w:rPr>
          <w:rFonts w:ascii="Times New Roman" w:hAnsi="Times New Roman" w:cs="Times New Roman"/>
        </w:rPr>
      </w:pPr>
      <w:r>
        <w:rPr>
          <w:rFonts w:ascii="Times New Roman" w:hAnsi="Times New Roman" w:cs="Times New Roman"/>
        </w:rPr>
        <w:t xml:space="preserve">Dall’altro lato, non va taciuto che nella stessa giurisprudenza delle S.U. – e in particolare nella sentenza Magera – si individua, in un ampio </w:t>
      </w:r>
      <w:r w:rsidRPr="00CB7378">
        <w:rPr>
          <w:rFonts w:ascii="Times New Roman" w:hAnsi="Times New Roman" w:cs="Times New Roman"/>
          <w:i/>
          <w:iCs/>
        </w:rPr>
        <w:t>obiter dictum</w:t>
      </w:r>
      <w:r w:rsidRPr="00CB7378">
        <w:rPr>
          <w:rStyle w:val="FootnoteReference"/>
          <w:rFonts w:ascii="Times New Roman" w:hAnsi="Times New Roman" w:cs="Times New Roman"/>
        </w:rPr>
        <w:footnoteReference w:id="49"/>
      </w:r>
      <w:r>
        <w:rPr>
          <w:rFonts w:ascii="Times New Roman" w:hAnsi="Times New Roman" w:cs="Times New Roman"/>
        </w:rPr>
        <w:t xml:space="preserve">, un </w:t>
      </w:r>
      <w:r w:rsidRPr="00CB7378">
        <w:rPr>
          <w:rFonts w:ascii="Times New Roman" w:hAnsi="Times New Roman" w:cs="Times New Roman"/>
        </w:rPr>
        <w:t>criterio</w:t>
      </w:r>
      <w:r>
        <w:rPr>
          <w:rFonts w:ascii="Times New Roman" w:hAnsi="Times New Roman" w:cs="Times New Roman"/>
        </w:rPr>
        <w:t xml:space="preserve"> di accertamento dell’</w:t>
      </w:r>
      <w:r w:rsidRPr="008D5F77">
        <w:rPr>
          <w:rFonts w:ascii="Times New Roman" w:hAnsi="Times New Roman" w:cs="Times New Roman"/>
          <w:i/>
          <w:iCs/>
        </w:rPr>
        <w:t>a</w:t>
      </w:r>
      <w:r w:rsidRPr="00CB7378">
        <w:rPr>
          <w:rFonts w:ascii="Times New Roman" w:hAnsi="Times New Roman" w:cs="Times New Roman"/>
          <w:i/>
          <w:iCs/>
        </w:rPr>
        <w:t xml:space="preserve">bolitio criminis </w:t>
      </w:r>
      <w:r>
        <w:rPr>
          <w:rFonts w:ascii="Times New Roman" w:hAnsi="Times New Roman" w:cs="Times New Roman"/>
        </w:rPr>
        <w:t xml:space="preserve">ulteriore e </w:t>
      </w:r>
      <w:r w:rsidRPr="0010400C">
        <w:rPr>
          <w:rFonts w:ascii="Times New Roman" w:hAnsi="Times New Roman" w:cs="Times New Roman"/>
          <w:i/>
          <w:iCs/>
        </w:rPr>
        <w:t>diverso</w:t>
      </w:r>
      <w:r>
        <w:rPr>
          <w:rFonts w:ascii="Times New Roman" w:hAnsi="Times New Roman" w:cs="Times New Roman"/>
        </w:rPr>
        <w:t xml:space="preserve"> </w:t>
      </w:r>
      <w:r w:rsidRPr="0010400C">
        <w:rPr>
          <w:rFonts w:ascii="Times New Roman" w:hAnsi="Times New Roman" w:cs="Times New Roman"/>
          <w:i/>
          <w:iCs/>
        </w:rPr>
        <w:t>da quello strutturale</w:t>
      </w:r>
      <w:r>
        <w:rPr>
          <w:rFonts w:ascii="Times New Roman" w:hAnsi="Times New Roman" w:cs="Times New Roman"/>
        </w:rPr>
        <w:t xml:space="preserve">, i cui contorni però non ci sembrano altrettanto chiari. Si legge nella sentenza Magera: “Oltre che rispetto alle norme integratrici di quelle penali, l’art. 2 c.p. può trovare applicazione rispetto a </w:t>
      </w:r>
      <w:r w:rsidRPr="0010400C">
        <w:rPr>
          <w:rFonts w:ascii="Times New Roman" w:hAnsi="Times New Roman" w:cs="Times New Roman"/>
          <w:i/>
          <w:iCs/>
        </w:rPr>
        <w:t>norme extrapenali che siano esse stesse, esplicitamente o implicitamente, retroattive, quando nella fattispecie penale non rilevano solo per la qualificazione di un elemento, ma per l’assetto giuridico che realizzano, come può accadere per le norme penali richiamate dalla norma incriminatrice</w:t>
      </w:r>
      <w:r>
        <w:rPr>
          <w:rFonts w:ascii="Times New Roman" w:hAnsi="Times New Roman" w:cs="Times New Roman"/>
        </w:rPr>
        <w:t xml:space="preserve"> (e da considerare perciò alla stregua di norme extrapenali, nel senso di norme esterne a quella penale descrittiva del reato)”. Non è chiaro, però, quando possa dirsi che la norma richiamata “rileva solo per la qualificazione di un elemento” della fattispecie – sicché modificandosi </w:t>
      </w:r>
      <w:r w:rsidRPr="008D5F77">
        <w:rPr>
          <w:rFonts w:ascii="Times New Roman" w:hAnsi="Times New Roman" w:cs="Times New Roman"/>
          <w:i/>
          <w:iCs/>
        </w:rPr>
        <w:t>non può</w:t>
      </w:r>
      <w:r>
        <w:rPr>
          <w:rFonts w:ascii="Times New Roman" w:hAnsi="Times New Roman" w:cs="Times New Roman"/>
        </w:rPr>
        <w:t xml:space="preserve"> comportare </w:t>
      </w:r>
      <w:r w:rsidRPr="0010400C">
        <w:rPr>
          <w:rFonts w:ascii="Times New Roman" w:hAnsi="Times New Roman" w:cs="Times New Roman"/>
          <w:i/>
          <w:iCs/>
        </w:rPr>
        <w:t>abolitio criminis</w:t>
      </w:r>
      <w:r>
        <w:rPr>
          <w:rFonts w:ascii="Times New Roman" w:hAnsi="Times New Roman" w:cs="Times New Roman"/>
        </w:rPr>
        <w:t xml:space="preserve"> – e quando invece “rileva per l’assetto giuridico che realizza” – sicché, al contrario, modificandosi </w:t>
      </w:r>
      <w:r w:rsidRPr="008D5F77">
        <w:rPr>
          <w:rFonts w:ascii="Times New Roman" w:hAnsi="Times New Roman" w:cs="Times New Roman"/>
          <w:i/>
          <w:iCs/>
        </w:rPr>
        <w:t>può</w:t>
      </w:r>
      <w:r>
        <w:rPr>
          <w:rFonts w:ascii="Times New Roman" w:hAnsi="Times New Roman" w:cs="Times New Roman"/>
        </w:rPr>
        <w:t xml:space="preserve"> comportare </w:t>
      </w:r>
      <w:r w:rsidRPr="0010400C">
        <w:rPr>
          <w:rFonts w:ascii="Times New Roman" w:hAnsi="Times New Roman" w:cs="Times New Roman"/>
          <w:i/>
          <w:iCs/>
        </w:rPr>
        <w:t>abolitio criminis</w:t>
      </w:r>
      <w:r>
        <w:rPr>
          <w:rFonts w:ascii="Times New Roman" w:hAnsi="Times New Roman" w:cs="Times New Roman"/>
        </w:rPr>
        <w:t xml:space="preserve">. Secondo la sentenza Magera, la prima ipotesi si realizzerebbe nel caso dell’abolizione del delitto oggetto di falsa incolpazione nella </w:t>
      </w:r>
      <w:r w:rsidRPr="0059321C">
        <w:rPr>
          <w:rFonts w:ascii="Times New Roman" w:hAnsi="Times New Roman" w:cs="Times New Roman"/>
          <w:i/>
          <w:iCs/>
        </w:rPr>
        <w:t>calunnia</w:t>
      </w:r>
      <w:r>
        <w:rPr>
          <w:rFonts w:ascii="Times New Roman" w:hAnsi="Times New Roman" w:cs="Times New Roman"/>
        </w:rPr>
        <w:t>: “nella calunnia, infatti, rileva la qualificazione come reato del fatto oggetto dell’incolpazione, nel momento in cui è avvenuta, e non l’assetto giuridico realizzato dalla norma incriminatrice, sicché l’abrogazione di questa non è in grado di incidere sul reato precedentemente commesso”. Non altrettanto potrebbe dirsi rispetto alla seconda ipotesi, alla quale la sentenza Magera riconduce il caso dell’abolizione del delitto-scopo dell’</w:t>
      </w:r>
      <w:r w:rsidRPr="0059321C">
        <w:rPr>
          <w:rFonts w:ascii="Times New Roman" w:hAnsi="Times New Roman" w:cs="Times New Roman"/>
          <w:i/>
          <w:iCs/>
        </w:rPr>
        <w:t>associazione per delinquere</w:t>
      </w:r>
      <w:r>
        <w:rPr>
          <w:rFonts w:ascii="Times New Roman" w:hAnsi="Times New Roman" w:cs="Times New Roman"/>
        </w:rPr>
        <w:t>, confermando così una sentenza della Prima Sezione che, nel 2005, ha affermato l’</w:t>
      </w:r>
      <w:r w:rsidRPr="0059321C">
        <w:rPr>
          <w:rFonts w:ascii="Times New Roman" w:hAnsi="Times New Roman" w:cs="Times New Roman"/>
          <w:i/>
          <w:iCs/>
        </w:rPr>
        <w:t xml:space="preserve">abolitio criminis </w:t>
      </w:r>
      <w:r>
        <w:rPr>
          <w:rFonts w:ascii="Times New Roman" w:hAnsi="Times New Roman" w:cs="Times New Roman"/>
        </w:rPr>
        <w:t>dell’associazione per delinquere, a fronte della depenalizzazione del delitto-scopo (la sofisticazione vinicola)</w:t>
      </w:r>
      <w:r>
        <w:rPr>
          <w:rStyle w:val="FootnoteReference"/>
          <w:rFonts w:ascii="Times New Roman" w:hAnsi="Times New Roman" w:cs="Times New Roman"/>
        </w:rPr>
        <w:footnoteReference w:id="50"/>
      </w:r>
      <w:r>
        <w:rPr>
          <w:rFonts w:ascii="Times New Roman" w:hAnsi="Times New Roman" w:cs="Times New Roman"/>
        </w:rPr>
        <w:t>. In questo caso, secondo la sentenza Magera, “l’effetto retroattivo della norma abolitrice del reato ha inciso sulla fattispecie associativa privandola dello scopo della commissione di fatti-reato […]. L’effetto abolitivo del reato associativo è conseguenza necessaria dell’effetto retroattivo dell’abolizione del reato scopo”.</w:t>
      </w:r>
    </w:p>
    <w:p w:rsidR="00357AB3" w:rsidRDefault="00357AB3" w:rsidP="0059321C">
      <w:pPr>
        <w:spacing w:after="0" w:line="360" w:lineRule="auto"/>
        <w:ind w:firstLine="709"/>
        <w:jc w:val="both"/>
        <w:rPr>
          <w:rFonts w:ascii="Times New Roman" w:hAnsi="Times New Roman" w:cs="Times New Roman"/>
        </w:rPr>
      </w:pPr>
      <w:r>
        <w:rPr>
          <w:rFonts w:ascii="Times New Roman" w:hAnsi="Times New Roman" w:cs="Times New Roman"/>
        </w:rPr>
        <w:t>Sennonché, a nostro avviso, contrariamente a quanto anche autorevole dottrina sostiene</w:t>
      </w:r>
      <w:r>
        <w:rPr>
          <w:rStyle w:val="FootnoteReference"/>
          <w:rFonts w:ascii="Times New Roman" w:hAnsi="Times New Roman" w:cs="Times New Roman"/>
        </w:rPr>
        <w:footnoteReference w:id="51"/>
      </w:r>
      <w:r>
        <w:rPr>
          <w:rFonts w:ascii="Times New Roman" w:hAnsi="Times New Roman" w:cs="Times New Roman"/>
        </w:rPr>
        <w:t>, l’</w:t>
      </w:r>
      <w:r w:rsidRPr="001A0E33">
        <w:rPr>
          <w:rFonts w:ascii="Times New Roman" w:hAnsi="Times New Roman" w:cs="Times New Roman"/>
          <w:i/>
          <w:iCs/>
        </w:rPr>
        <w:t xml:space="preserve">abolitio criminis </w:t>
      </w:r>
      <w:r>
        <w:rPr>
          <w:rFonts w:ascii="Times New Roman" w:hAnsi="Times New Roman" w:cs="Times New Roman"/>
        </w:rPr>
        <w:t xml:space="preserve">deve essere esclusa </w:t>
      </w:r>
      <w:r w:rsidRPr="001A0E33">
        <w:rPr>
          <w:rFonts w:ascii="Times New Roman" w:hAnsi="Times New Roman" w:cs="Times New Roman"/>
          <w:i/>
          <w:iCs/>
        </w:rPr>
        <w:t>tanto</w:t>
      </w:r>
      <w:r>
        <w:rPr>
          <w:rFonts w:ascii="Times New Roman" w:hAnsi="Times New Roman" w:cs="Times New Roman"/>
        </w:rPr>
        <w:t xml:space="preserve"> nel caso dell’abolizione del reato oggetto d’incolpazione nella calunnia, quanto in quello dell’abolizione del delitto-scopo dell’associazione per delinquere</w:t>
      </w:r>
      <w:r>
        <w:rPr>
          <w:rStyle w:val="FootnoteReference"/>
          <w:rFonts w:ascii="Times New Roman" w:hAnsi="Times New Roman" w:cs="Times New Roman"/>
        </w:rPr>
        <w:footnoteReference w:id="52"/>
      </w:r>
      <w:r>
        <w:rPr>
          <w:rFonts w:ascii="Times New Roman" w:hAnsi="Times New Roman" w:cs="Times New Roman"/>
        </w:rPr>
        <w:t xml:space="preserve">. Si tratta infatti di due </w:t>
      </w:r>
      <w:r w:rsidRPr="00AD01AF">
        <w:rPr>
          <w:rFonts w:ascii="Times New Roman" w:hAnsi="Times New Roman" w:cs="Times New Roman"/>
          <w:i/>
          <w:iCs/>
        </w:rPr>
        <w:t>casi strutturalmente identici</w:t>
      </w:r>
      <w:r>
        <w:rPr>
          <w:rFonts w:ascii="Times New Roman" w:hAnsi="Times New Roman" w:cs="Times New Roman"/>
        </w:rPr>
        <w:t xml:space="preserve">, implicanti la modifica di norme penali richiamate da elementi normativi della fattispecie (i termini «reato», nell’art. 368 c.p., e «delitti», nell’art. 416 c.p.). In entrambi i casi si realizza una successione di norme </w:t>
      </w:r>
      <w:r w:rsidRPr="000F4EE2">
        <w:rPr>
          <w:rFonts w:ascii="Times New Roman" w:hAnsi="Times New Roman" w:cs="Times New Roman"/>
          <w:i/>
          <w:iCs/>
        </w:rPr>
        <w:t>non integratrici</w:t>
      </w:r>
      <w:r>
        <w:rPr>
          <w:rFonts w:ascii="Times New Roman" w:hAnsi="Times New Roman" w:cs="Times New Roman"/>
        </w:rPr>
        <w:t xml:space="preserve"> – tali sono immancabilmente le norme richiamate dagli elementi normativi</w:t>
      </w:r>
      <w:r>
        <w:rPr>
          <w:rStyle w:val="FootnoteReference"/>
          <w:rFonts w:ascii="Times New Roman" w:hAnsi="Times New Roman" w:cs="Times New Roman"/>
        </w:rPr>
        <w:footnoteReference w:id="53"/>
      </w:r>
      <w:r>
        <w:rPr>
          <w:rFonts w:ascii="Times New Roman" w:hAnsi="Times New Roman" w:cs="Times New Roman"/>
        </w:rPr>
        <w:t xml:space="preserve"> –: le rispettive fisionomie della calunnia (incolpare taluno falsamente di un reato, quale che sia) e dell’associazione per delinquere (associarsi allo scopo di commettere più delitti, quali che siano) restano immutate, così come d’altra parte rimangono </w:t>
      </w:r>
      <w:r w:rsidRPr="000F4EE2">
        <w:rPr>
          <w:rFonts w:ascii="Times New Roman" w:hAnsi="Times New Roman" w:cs="Times New Roman"/>
          <w:i/>
          <w:iCs/>
        </w:rPr>
        <w:t>irreversibili</w:t>
      </w:r>
      <w:r>
        <w:rPr>
          <w:rFonts w:ascii="Times New Roman" w:hAnsi="Times New Roman" w:cs="Times New Roman"/>
        </w:rPr>
        <w:t xml:space="preserve"> </w:t>
      </w:r>
      <w:r w:rsidRPr="000F4EE2">
        <w:rPr>
          <w:rFonts w:ascii="Times New Roman" w:hAnsi="Times New Roman" w:cs="Times New Roman"/>
          <w:i/>
          <w:iCs/>
        </w:rPr>
        <w:t>le offese ormai recate ai beni giuridici tutelati</w:t>
      </w:r>
      <w:r>
        <w:rPr>
          <w:rFonts w:ascii="Times New Roman" w:hAnsi="Times New Roman" w:cs="Times New Roman"/>
        </w:rPr>
        <w:t xml:space="preserve"> (amministrazione della giustizia, onore e libertà personale dell’innocente, nel caso della calunnia; ordine pubblico, nel caso dell’associazione per delinquere).</w:t>
      </w:r>
    </w:p>
    <w:p w:rsidR="00357AB3" w:rsidRPr="0059321C" w:rsidRDefault="00357AB3" w:rsidP="006F5CBC">
      <w:pPr>
        <w:tabs>
          <w:tab w:val="left" w:pos="1715"/>
        </w:tabs>
        <w:spacing w:after="0" w:line="360" w:lineRule="auto"/>
        <w:ind w:firstLine="709"/>
        <w:jc w:val="both"/>
        <w:rPr>
          <w:rFonts w:ascii="Times New Roman" w:hAnsi="Times New Roman" w:cs="Times New Roman"/>
        </w:rPr>
      </w:pPr>
    </w:p>
    <w:sectPr w:rsidR="00357AB3" w:rsidRPr="0059321C" w:rsidSect="00C33199">
      <w:footerReference w:type="default" r:id="rId7"/>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7AB3" w:rsidRDefault="00357AB3" w:rsidP="00194F95">
      <w:pPr>
        <w:spacing w:after="0" w:line="240" w:lineRule="auto"/>
      </w:pPr>
      <w:r>
        <w:separator/>
      </w:r>
    </w:p>
  </w:endnote>
  <w:endnote w:type="continuationSeparator" w:id="1">
    <w:p w:rsidR="00357AB3" w:rsidRDefault="00357AB3" w:rsidP="00194F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AB3" w:rsidRDefault="00357AB3">
    <w:pPr>
      <w:pStyle w:val="Footer"/>
    </w:pPr>
    <w:fldSimple w:instr=" PAGE   \* MERGEFORMAT ">
      <w:r>
        <w:rPr>
          <w:noProof/>
        </w:rPr>
        <w:t>1</w:t>
      </w:r>
    </w:fldSimple>
  </w:p>
  <w:p w:rsidR="00357AB3" w:rsidRDefault="00357AB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7AB3" w:rsidRDefault="00357AB3" w:rsidP="00194F95">
      <w:pPr>
        <w:spacing w:after="0" w:line="240" w:lineRule="auto"/>
      </w:pPr>
      <w:r>
        <w:separator/>
      </w:r>
    </w:p>
  </w:footnote>
  <w:footnote w:type="continuationSeparator" w:id="1">
    <w:p w:rsidR="00357AB3" w:rsidRDefault="00357AB3" w:rsidP="00194F95">
      <w:pPr>
        <w:spacing w:after="0" w:line="240" w:lineRule="auto"/>
      </w:pPr>
      <w:r>
        <w:continuationSeparator/>
      </w:r>
    </w:p>
  </w:footnote>
  <w:footnote w:id="2">
    <w:p w:rsidR="00357AB3" w:rsidRDefault="00357AB3" w:rsidP="00BC2EFE">
      <w:pPr>
        <w:pStyle w:val="Footer"/>
        <w:jc w:val="both"/>
      </w:pPr>
      <w:r w:rsidRPr="000A0E79">
        <w:rPr>
          <w:rStyle w:val="FootnoteReference"/>
          <w:rFonts w:ascii="Times New Roman" w:hAnsi="Times New Roman" w:cs="Times New Roman"/>
          <w:i/>
          <w:iCs/>
          <w:sz w:val="20"/>
          <w:szCs w:val="20"/>
        </w:rPr>
        <w:footnoteRef/>
      </w:r>
      <w:r w:rsidRPr="00BC2EFE">
        <w:rPr>
          <w:rFonts w:ascii="Times New Roman" w:hAnsi="Times New Roman" w:cs="Times New Roman"/>
          <w:i/>
          <w:iCs/>
          <w:sz w:val="20"/>
          <w:szCs w:val="20"/>
        </w:rPr>
        <w:t xml:space="preserve"> </w:t>
      </w:r>
      <w:r>
        <w:rPr>
          <w:rFonts w:ascii="Times New Roman" w:hAnsi="Times New Roman" w:cs="Times New Roman"/>
          <w:i/>
          <w:iCs/>
          <w:sz w:val="20"/>
          <w:szCs w:val="20"/>
        </w:rPr>
        <w:t>Testo della r</w:t>
      </w:r>
      <w:r w:rsidRPr="00BC2EFE">
        <w:rPr>
          <w:rFonts w:ascii="Times New Roman" w:hAnsi="Times New Roman" w:cs="Times New Roman"/>
          <w:i/>
          <w:iCs/>
          <w:sz w:val="20"/>
          <w:szCs w:val="20"/>
        </w:rPr>
        <w:t>elazione all’incontro di studio su “L’evoluzione nel tempo delle norme penali e processuali”, organizzato dal C.S.M. a Roma il 7 luglio 2010.</w:t>
      </w:r>
    </w:p>
  </w:footnote>
  <w:footnote w:id="3">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Sul tema oggetto della presente relazione sia consentito rinviare a </w:t>
      </w:r>
      <w:r w:rsidRPr="00BC2EFE">
        <w:rPr>
          <w:rFonts w:ascii="Times New Roman" w:hAnsi="Times New Roman" w:cs="Times New Roman"/>
          <w:smallCaps/>
        </w:rPr>
        <w:t>Gatta</w:t>
      </w:r>
      <w:r w:rsidRPr="00BC2EFE">
        <w:rPr>
          <w:rFonts w:ascii="Times New Roman" w:hAnsi="Times New Roman" w:cs="Times New Roman"/>
        </w:rPr>
        <w:t xml:space="preserve">, Abolitio criminis </w:t>
      </w:r>
      <w:r w:rsidRPr="00BC2EFE">
        <w:rPr>
          <w:rFonts w:ascii="Times New Roman" w:hAnsi="Times New Roman" w:cs="Times New Roman"/>
          <w:i/>
          <w:iCs/>
        </w:rPr>
        <w:t>e successione di norme “integratrici”: teoria e prassi</w:t>
      </w:r>
      <w:r w:rsidRPr="00BC2EFE">
        <w:rPr>
          <w:rFonts w:ascii="Times New Roman" w:hAnsi="Times New Roman" w:cs="Times New Roman"/>
        </w:rPr>
        <w:t xml:space="preserve">, Milano, Giuffrè, 2008, anche per l’esame della casistica giurisprudenziale, che nella seconda parte dell’opera è stata raccolta e ordinata nella sua interezza. </w:t>
      </w:r>
    </w:p>
  </w:footnote>
  <w:footnote w:id="4">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lang w:val="en-US"/>
        </w:rPr>
        <w:t xml:space="preserve"> Cfr., ad es., Cass. Sez. </w:t>
      </w:r>
      <w:r w:rsidRPr="00BC2EFE">
        <w:rPr>
          <w:rFonts w:ascii="Times New Roman" w:hAnsi="Times New Roman" w:cs="Times New Roman"/>
        </w:rPr>
        <w:t xml:space="preserve">III, 7 aprile 1951, Ottazzi, in </w:t>
      </w:r>
      <w:r w:rsidRPr="00BC2EFE">
        <w:rPr>
          <w:rFonts w:ascii="Times New Roman" w:hAnsi="Times New Roman" w:cs="Times New Roman"/>
          <w:i/>
          <w:iCs/>
        </w:rPr>
        <w:t>Giust. Pen.</w:t>
      </w:r>
      <w:r w:rsidRPr="00BC2EFE">
        <w:rPr>
          <w:rFonts w:ascii="Times New Roman" w:hAnsi="Times New Roman" w:cs="Times New Roman"/>
        </w:rPr>
        <w:t xml:space="preserve">, 1951, II, c. 1073 s.; Cass. Sez. VI, 21 novembre 1988, Caronna, in </w:t>
      </w:r>
      <w:r w:rsidRPr="00BC2EFE">
        <w:rPr>
          <w:rFonts w:ascii="Times New Roman" w:hAnsi="Times New Roman" w:cs="Times New Roman"/>
          <w:i/>
          <w:iCs/>
        </w:rPr>
        <w:t>Cass. pen.</w:t>
      </w:r>
      <w:r w:rsidRPr="00BC2EFE">
        <w:rPr>
          <w:rFonts w:ascii="Times New Roman" w:hAnsi="Times New Roman" w:cs="Times New Roman"/>
        </w:rPr>
        <w:t xml:space="preserve">, 1990, I, p. 227; Cass. Sez. VI, 8 aprile 2002, Bassetti, </w:t>
      </w:r>
      <w:r w:rsidRPr="00BC2EFE">
        <w:rPr>
          <w:rFonts w:ascii="Times New Roman" w:hAnsi="Times New Roman" w:cs="Times New Roman"/>
          <w:i/>
          <w:iCs/>
        </w:rPr>
        <w:t>ivi</w:t>
      </w:r>
      <w:r w:rsidRPr="00BC2EFE">
        <w:rPr>
          <w:rFonts w:ascii="Times New Roman" w:hAnsi="Times New Roman" w:cs="Times New Roman"/>
        </w:rPr>
        <w:t>, 2004, p. 3220.</w:t>
      </w:r>
    </w:p>
  </w:footnote>
  <w:footnote w:id="5">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Cass. Sez. VI, 5 giugno 2002, Tambasco, in </w:t>
      </w:r>
      <w:r w:rsidRPr="00BC2EFE">
        <w:rPr>
          <w:rFonts w:ascii="Times New Roman" w:hAnsi="Times New Roman" w:cs="Times New Roman"/>
          <w:i/>
          <w:iCs/>
        </w:rPr>
        <w:t>Riv. pen.</w:t>
      </w:r>
      <w:r w:rsidRPr="00BC2EFE">
        <w:rPr>
          <w:rFonts w:ascii="Times New Roman" w:hAnsi="Times New Roman" w:cs="Times New Roman"/>
        </w:rPr>
        <w:t>, 2002, p. 1049.</w:t>
      </w:r>
    </w:p>
  </w:footnote>
  <w:footnote w:id="6">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Cass. Sez. I, 9 marzo 2005, Screti, in </w:t>
      </w:r>
      <w:r w:rsidRPr="00BC2EFE">
        <w:rPr>
          <w:rFonts w:ascii="Times New Roman" w:hAnsi="Times New Roman" w:cs="Times New Roman"/>
          <w:i/>
          <w:iCs/>
        </w:rPr>
        <w:t>Riv. pen.</w:t>
      </w:r>
      <w:r w:rsidRPr="00BC2EFE">
        <w:rPr>
          <w:rFonts w:ascii="Times New Roman" w:hAnsi="Times New Roman" w:cs="Times New Roman"/>
        </w:rPr>
        <w:t xml:space="preserve">, 2005, p. 972 s.; C. app. Firenze, 21 giugno 1991, Conciani, in </w:t>
      </w:r>
      <w:r w:rsidRPr="00BC2EFE">
        <w:rPr>
          <w:rFonts w:ascii="Times New Roman" w:hAnsi="Times New Roman" w:cs="Times New Roman"/>
          <w:i/>
          <w:iCs/>
        </w:rPr>
        <w:t>Foro it.</w:t>
      </w:r>
      <w:r w:rsidRPr="00BC2EFE">
        <w:rPr>
          <w:rFonts w:ascii="Times New Roman" w:hAnsi="Times New Roman" w:cs="Times New Roman"/>
        </w:rPr>
        <w:t>, 1992, II, c. 301 s.</w:t>
      </w:r>
    </w:p>
  </w:footnote>
  <w:footnote w:id="7">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Cass. Sez. II, 4 luglio 2003, Paperini, in </w:t>
      </w:r>
      <w:r w:rsidRPr="00BC2EFE">
        <w:rPr>
          <w:rFonts w:ascii="Times New Roman" w:hAnsi="Times New Roman" w:cs="Times New Roman"/>
          <w:i/>
          <w:iCs/>
        </w:rPr>
        <w:t>Riv. pen.</w:t>
      </w:r>
      <w:r w:rsidRPr="00BC2EFE">
        <w:rPr>
          <w:rFonts w:ascii="Times New Roman" w:hAnsi="Times New Roman" w:cs="Times New Roman"/>
        </w:rPr>
        <w:t>, 2004, p. 337 s.</w:t>
      </w:r>
    </w:p>
  </w:footnote>
  <w:footnote w:id="8">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Cass. Sez. I, 6 giugno 2003, Seferi, in </w:t>
      </w:r>
      <w:r w:rsidRPr="00BC2EFE">
        <w:rPr>
          <w:rFonts w:ascii="Times New Roman" w:hAnsi="Times New Roman" w:cs="Times New Roman"/>
          <w:i/>
          <w:iCs/>
        </w:rPr>
        <w:t>Cass. pen.</w:t>
      </w:r>
      <w:r w:rsidRPr="00BC2EFE">
        <w:rPr>
          <w:rFonts w:ascii="Times New Roman" w:hAnsi="Times New Roman" w:cs="Times New Roman"/>
        </w:rPr>
        <w:t xml:space="preserve">, 2004, p. 4080; Cass. Sez. V, 12 febbraio 2008, n. 8671, P.A., in </w:t>
      </w:r>
      <w:r w:rsidRPr="00BC2EFE">
        <w:rPr>
          <w:rFonts w:ascii="Times New Roman" w:hAnsi="Times New Roman" w:cs="Times New Roman"/>
          <w:i/>
          <w:iCs/>
        </w:rPr>
        <w:t>Leggi d’Italia Professionale</w:t>
      </w:r>
      <w:r w:rsidRPr="00BC2EFE">
        <w:rPr>
          <w:rFonts w:ascii="Times New Roman" w:hAnsi="Times New Roman" w:cs="Times New Roman"/>
        </w:rPr>
        <w:t>.</w:t>
      </w:r>
    </w:p>
  </w:footnote>
  <w:footnote w:id="9">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Cass. Sez. V, 25 febbraio 1997, De Lisi, in </w:t>
      </w:r>
      <w:r w:rsidRPr="00BC2EFE">
        <w:rPr>
          <w:rFonts w:ascii="Times New Roman" w:hAnsi="Times New Roman" w:cs="Times New Roman"/>
          <w:i/>
          <w:iCs/>
        </w:rPr>
        <w:t>Foro it.</w:t>
      </w:r>
      <w:r w:rsidRPr="00BC2EFE">
        <w:rPr>
          <w:rFonts w:ascii="Times New Roman" w:hAnsi="Times New Roman" w:cs="Times New Roman"/>
        </w:rPr>
        <w:t xml:space="preserve">, 1998, II, c. 95 s., con nota di </w:t>
      </w:r>
      <w:r w:rsidRPr="00BC2EFE">
        <w:rPr>
          <w:rFonts w:ascii="Times New Roman" w:hAnsi="Times New Roman" w:cs="Times New Roman"/>
          <w:smallCaps/>
        </w:rPr>
        <w:t>B. Romano</w:t>
      </w:r>
      <w:r w:rsidRPr="00BC2EFE">
        <w:rPr>
          <w:rFonts w:ascii="Times New Roman" w:hAnsi="Times New Roman" w:cs="Times New Roman"/>
        </w:rPr>
        <w:t xml:space="preserve">; Cass. Sez. V, 11 dicembre 1997, Prestigiacomo, in </w:t>
      </w:r>
      <w:r w:rsidRPr="00BC2EFE">
        <w:rPr>
          <w:rFonts w:ascii="Times New Roman" w:hAnsi="Times New Roman" w:cs="Times New Roman"/>
          <w:i/>
          <w:iCs/>
        </w:rPr>
        <w:t>Giust. pen.</w:t>
      </w:r>
      <w:r w:rsidRPr="00BC2EFE">
        <w:rPr>
          <w:rFonts w:ascii="Times New Roman" w:hAnsi="Times New Roman" w:cs="Times New Roman"/>
        </w:rPr>
        <w:t xml:space="preserve">, 1999, II, c. 45; Cass. Sez. V, 18 marzo 1998, Gambino, in </w:t>
      </w:r>
      <w:r w:rsidRPr="00BC2EFE">
        <w:rPr>
          <w:rFonts w:ascii="Times New Roman" w:hAnsi="Times New Roman" w:cs="Times New Roman"/>
          <w:i/>
          <w:iCs/>
        </w:rPr>
        <w:t>Giust. pen.</w:t>
      </w:r>
      <w:r w:rsidRPr="00BC2EFE">
        <w:rPr>
          <w:rFonts w:ascii="Times New Roman" w:hAnsi="Times New Roman" w:cs="Times New Roman"/>
        </w:rPr>
        <w:t>, 1999, II, c. 404 s.</w:t>
      </w:r>
    </w:p>
  </w:footnote>
  <w:footnote w:id="10">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ad es. Cass. S.U., 23 maggio 1987, Tuzet, in </w:t>
      </w:r>
      <w:r w:rsidRPr="00BC2EFE">
        <w:rPr>
          <w:rFonts w:ascii="Times New Roman" w:hAnsi="Times New Roman" w:cs="Times New Roman"/>
          <w:i/>
          <w:iCs/>
        </w:rPr>
        <w:t>Riv. it. dir. proc. pen.,</w:t>
      </w:r>
      <w:r w:rsidRPr="00BC2EFE">
        <w:rPr>
          <w:rFonts w:ascii="Times New Roman" w:hAnsi="Times New Roman" w:cs="Times New Roman"/>
        </w:rPr>
        <w:t xml:space="preserve"> 1987, p. 695 s., con nota di </w:t>
      </w:r>
      <w:r w:rsidRPr="00BC2EFE">
        <w:rPr>
          <w:rFonts w:ascii="Times New Roman" w:hAnsi="Times New Roman" w:cs="Times New Roman"/>
          <w:smallCaps/>
        </w:rPr>
        <w:t>Paliero</w:t>
      </w:r>
      <w:r w:rsidRPr="00BC2EFE">
        <w:rPr>
          <w:rFonts w:ascii="Times New Roman" w:hAnsi="Times New Roman" w:cs="Times New Roman"/>
        </w:rPr>
        <w:t xml:space="preserve"> (peculato); Cass. Sez. VI, 10 luglio 1995, Caliciuri, in </w:t>
      </w:r>
      <w:r w:rsidRPr="00BC2EFE">
        <w:rPr>
          <w:rFonts w:ascii="Times New Roman" w:hAnsi="Times New Roman" w:cs="Times New Roman"/>
          <w:i/>
          <w:iCs/>
        </w:rPr>
        <w:t>Dir. pen. proc.</w:t>
      </w:r>
      <w:r w:rsidRPr="00BC2EFE">
        <w:rPr>
          <w:rFonts w:ascii="Times New Roman" w:hAnsi="Times New Roman" w:cs="Times New Roman"/>
        </w:rPr>
        <w:t xml:space="preserve">, 1996, p. 195 s., con nota di </w:t>
      </w:r>
      <w:r w:rsidRPr="00BC2EFE">
        <w:rPr>
          <w:rFonts w:ascii="Times New Roman" w:hAnsi="Times New Roman" w:cs="Times New Roman"/>
          <w:smallCaps/>
        </w:rPr>
        <w:t>Pisa</w:t>
      </w:r>
      <w:r w:rsidRPr="00BC2EFE">
        <w:rPr>
          <w:rFonts w:ascii="Times New Roman" w:hAnsi="Times New Roman" w:cs="Times New Roman"/>
        </w:rPr>
        <w:t xml:space="preserve">; Cass. Sez. VI, 26 settembre 2006, Moschetti, in </w:t>
      </w:r>
      <w:r w:rsidRPr="00BC2EFE">
        <w:rPr>
          <w:rFonts w:ascii="Times New Roman" w:hAnsi="Times New Roman" w:cs="Times New Roman"/>
          <w:i/>
          <w:iCs/>
        </w:rPr>
        <w:t>CED Cassazione</w:t>
      </w:r>
      <w:r w:rsidRPr="00BC2EFE">
        <w:rPr>
          <w:rFonts w:ascii="Times New Roman" w:hAnsi="Times New Roman" w:cs="Times New Roman"/>
        </w:rPr>
        <w:t xml:space="preserve"> n. 234990 (concussione e corruzione).</w:t>
      </w:r>
    </w:p>
  </w:footnote>
  <w:footnote w:id="11">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lang w:val="en-US"/>
        </w:rPr>
        <w:t xml:space="preserve"> Cfr., ad es., Cass. Sez. </w:t>
      </w:r>
      <w:r w:rsidRPr="00BC2EFE">
        <w:rPr>
          <w:rFonts w:ascii="Times New Roman" w:hAnsi="Times New Roman" w:cs="Times New Roman"/>
        </w:rPr>
        <w:t xml:space="preserve">VI, 15 gennaio 2003, Villani, in </w:t>
      </w:r>
      <w:r w:rsidRPr="00BC2EFE">
        <w:rPr>
          <w:rFonts w:ascii="Times New Roman" w:hAnsi="Times New Roman" w:cs="Times New Roman"/>
          <w:i/>
          <w:iCs/>
        </w:rPr>
        <w:t>Cass. pen.</w:t>
      </w:r>
      <w:r w:rsidRPr="00BC2EFE">
        <w:rPr>
          <w:rFonts w:ascii="Times New Roman" w:hAnsi="Times New Roman" w:cs="Times New Roman"/>
        </w:rPr>
        <w:t xml:space="preserve">, 2004, p. 3621; Cass. Sez. II, 2 dicembre 2003, Stellaccio, in </w:t>
      </w:r>
      <w:r w:rsidRPr="00BC2EFE">
        <w:rPr>
          <w:rFonts w:ascii="Times New Roman" w:hAnsi="Times New Roman" w:cs="Times New Roman"/>
          <w:i/>
          <w:iCs/>
        </w:rPr>
        <w:t>Foro it.</w:t>
      </w:r>
      <w:r w:rsidRPr="00BC2EFE">
        <w:rPr>
          <w:rFonts w:ascii="Times New Roman" w:hAnsi="Times New Roman" w:cs="Times New Roman"/>
        </w:rPr>
        <w:t xml:space="preserve">, 2004, II, c. 275 s., con nota di </w:t>
      </w:r>
      <w:r w:rsidRPr="00BC2EFE">
        <w:rPr>
          <w:rFonts w:ascii="Times New Roman" w:hAnsi="Times New Roman" w:cs="Times New Roman"/>
          <w:smallCaps/>
        </w:rPr>
        <w:t>A. Tesauro</w:t>
      </w:r>
      <w:r w:rsidRPr="00BC2EFE">
        <w:rPr>
          <w:rFonts w:ascii="Times New Roman" w:hAnsi="Times New Roman" w:cs="Times New Roman"/>
        </w:rPr>
        <w:t xml:space="preserve">; Cass. Sez. VI, 7 aprile 2005, Fabbri, in </w:t>
      </w:r>
      <w:r w:rsidRPr="00BC2EFE">
        <w:rPr>
          <w:rFonts w:ascii="Times New Roman" w:hAnsi="Times New Roman" w:cs="Times New Roman"/>
          <w:i/>
          <w:iCs/>
        </w:rPr>
        <w:t>Cass. pen.</w:t>
      </w:r>
      <w:r w:rsidRPr="00BC2EFE">
        <w:rPr>
          <w:rFonts w:ascii="Times New Roman" w:hAnsi="Times New Roman" w:cs="Times New Roman"/>
        </w:rPr>
        <w:t>, 2007, p. 178.</w:t>
      </w:r>
    </w:p>
  </w:footnote>
  <w:footnote w:id="12">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Cass. Sez. VI, 9 dicembre 2002, Di Campli Finore, in </w:t>
      </w:r>
      <w:r w:rsidRPr="00BC2EFE">
        <w:rPr>
          <w:rFonts w:ascii="Times New Roman" w:hAnsi="Times New Roman" w:cs="Times New Roman"/>
          <w:i/>
          <w:iCs/>
        </w:rPr>
        <w:t>Riv. pen.</w:t>
      </w:r>
      <w:r w:rsidRPr="00BC2EFE">
        <w:rPr>
          <w:rFonts w:ascii="Times New Roman" w:hAnsi="Times New Roman" w:cs="Times New Roman"/>
        </w:rPr>
        <w:t xml:space="preserve">, 2003, p. 407 s.; Cass. Sez. VI, 27 marzo 2003, Carrabba, in </w:t>
      </w:r>
      <w:r w:rsidRPr="00BC2EFE">
        <w:rPr>
          <w:rFonts w:ascii="Times New Roman" w:hAnsi="Times New Roman" w:cs="Times New Roman"/>
          <w:i/>
          <w:iCs/>
        </w:rPr>
        <w:t>Giust. pen.</w:t>
      </w:r>
      <w:r w:rsidRPr="00BC2EFE">
        <w:rPr>
          <w:rFonts w:ascii="Times New Roman" w:hAnsi="Times New Roman" w:cs="Times New Roman"/>
        </w:rPr>
        <w:t xml:space="preserve">, 2004, II, c. 321 s. </w:t>
      </w:r>
    </w:p>
  </w:footnote>
  <w:footnote w:id="13">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ad es., Cass. Sez. IV, 6 aprile 1960, Brendel, in </w:t>
      </w:r>
      <w:r w:rsidRPr="00BC2EFE">
        <w:rPr>
          <w:rFonts w:ascii="Times New Roman" w:hAnsi="Times New Roman" w:cs="Times New Roman"/>
          <w:i/>
          <w:iCs/>
        </w:rPr>
        <w:t>Riv. it. dir. proc. pen.</w:t>
      </w:r>
      <w:r w:rsidRPr="00BC2EFE">
        <w:rPr>
          <w:rFonts w:ascii="Times New Roman" w:hAnsi="Times New Roman" w:cs="Times New Roman"/>
        </w:rPr>
        <w:t xml:space="preserve">, 1960, p. 1206 s., con nota di </w:t>
      </w:r>
      <w:r w:rsidRPr="00BC2EFE">
        <w:rPr>
          <w:rFonts w:ascii="Times New Roman" w:hAnsi="Times New Roman" w:cs="Times New Roman"/>
          <w:smallCaps/>
        </w:rPr>
        <w:t>Grosso</w:t>
      </w:r>
      <w:r w:rsidRPr="00BC2EFE">
        <w:rPr>
          <w:rFonts w:ascii="Times New Roman" w:hAnsi="Times New Roman" w:cs="Times New Roman"/>
        </w:rPr>
        <w:t xml:space="preserve">; Cass. Sez. III, 21 maggio 1995, Cè, in </w:t>
      </w:r>
      <w:r w:rsidRPr="00BC2EFE">
        <w:rPr>
          <w:rFonts w:ascii="Times New Roman" w:hAnsi="Times New Roman" w:cs="Times New Roman"/>
          <w:i/>
          <w:iCs/>
        </w:rPr>
        <w:t>Cass. pen.</w:t>
      </w:r>
      <w:r w:rsidRPr="00BC2EFE">
        <w:rPr>
          <w:rFonts w:ascii="Times New Roman" w:hAnsi="Times New Roman" w:cs="Times New Roman"/>
        </w:rPr>
        <w:t>, 1996, p. 3667.</w:t>
      </w:r>
    </w:p>
  </w:footnote>
  <w:footnote w:id="14">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Cass. Sez. IV 3 aprile 2004, Cunial, in </w:t>
      </w:r>
      <w:r w:rsidRPr="00BC2EFE">
        <w:rPr>
          <w:rFonts w:ascii="Times New Roman" w:hAnsi="Times New Roman" w:cs="Times New Roman"/>
          <w:i/>
          <w:iCs/>
        </w:rPr>
        <w:t>CED Cassazione</w:t>
      </w:r>
      <w:r w:rsidRPr="00BC2EFE">
        <w:rPr>
          <w:rFonts w:ascii="Times New Roman" w:hAnsi="Times New Roman" w:cs="Times New Roman"/>
        </w:rPr>
        <w:t xml:space="preserve">, n. 228565, sent. n. 24010/2004 (nella motivazione); Cass. Sez. IV, 25 ottobre 2006, Cazzarolli, in </w:t>
      </w:r>
      <w:r w:rsidRPr="00BC2EFE">
        <w:rPr>
          <w:rFonts w:ascii="Times New Roman" w:hAnsi="Times New Roman" w:cs="Times New Roman"/>
          <w:i/>
          <w:iCs/>
        </w:rPr>
        <w:t>CED Cassazione</w:t>
      </w:r>
      <w:r w:rsidRPr="00BC2EFE">
        <w:rPr>
          <w:rFonts w:ascii="Times New Roman" w:hAnsi="Times New Roman" w:cs="Times New Roman"/>
        </w:rPr>
        <w:t>, n. 235780, sent. n. 2604/2007.</w:t>
      </w:r>
    </w:p>
  </w:footnote>
  <w:footnote w:id="15">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Cass. Sez. VI, 9 marzo 1994, Paris, in </w:t>
      </w:r>
      <w:r w:rsidRPr="00BC2EFE">
        <w:rPr>
          <w:rFonts w:ascii="Times New Roman" w:hAnsi="Times New Roman" w:cs="Times New Roman"/>
          <w:i/>
          <w:iCs/>
        </w:rPr>
        <w:t>Riv. pen.</w:t>
      </w:r>
      <w:r w:rsidRPr="00BC2EFE">
        <w:rPr>
          <w:rFonts w:ascii="Times New Roman" w:hAnsi="Times New Roman" w:cs="Times New Roman"/>
        </w:rPr>
        <w:t>, 1995, p. 917 s.</w:t>
      </w:r>
    </w:p>
  </w:footnote>
  <w:footnote w:id="16">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lang w:val="en-US"/>
        </w:rPr>
        <w:t xml:space="preserve"> Cfr., ad es., Cass. Sez. </w:t>
      </w:r>
      <w:r w:rsidRPr="00BC2EFE">
        <w:rPr>
          <w:rFonts w:ascii="Times New Roman" w:hAnsi="Times New Roman" w:cs="Times New Roman"/>
        </w:rPr>
        <w:t xml:space="preserve">III, 26 giugno 2002, Nanni, in </w:t>
      </w:r>
      <w:r w:rsidRPr="00BC2EFE">
        <w:rPr>
          <w:rFonts w:ascii="Times New Roman" w:hAnsi="Times New Roman" w:cs="Times New Roman"/>
          <w:i/>
          <w:iCs/>
        </w:rPr>
        <w:t>Riv. pen.</w:t>
      </w:r>
      <w:r w:rsidRPr="00BC2EFE">
        <w:rPr>
          <w:rFonts w:ascii="Times New Roman" w:hAnsi="Times New Roman" w:cs="Times New Roman"/>
        </w:rPr>
        <w:t xml:space="preserve">, 2002, p. 974 s.; Cass. Sez. </w:t>
      </w:r>
      <w:r w:rsidRPr="00BC2EFE">
        <w:rPr>
          <w:rFonts w:ascii="Times New Roman" w:hAnsi="Times New Roman" w:cs="Times New Roman"/>
          <w:lang w:val="en-US"/>
        </w:rPr>
        <w:t xml:space="preserve">III, 4 febbraio 2003, Pertot, in </w:t>
      </w:r>
      <w:r w:rsidRPr="00BC2EFE">
        <w:rPr>
          <w:rFonts w:ascii="Times New Roman" w:hAnsi="Times New Roman" w:cs="Times New Roman"/>
          <w:i/>
          <w:iCs/>
          <w:lang w:val="en-US"/>
        </w:rPr>
        <w:t>Giur. it.</w:t>
      </w:r>
      <w:r w:rsidRPr="00BC2EFE">
        <w:rPr>
          <w:rFonts w:ascii="Times New Roman" w:hAnsi="Times New Roman" w:cs="Times New Roman"/>
          <w:lang w:val="en-US"/>
        </w:rPr>
        <w:t xml:space="preserve">, 2001, c. 429 s.; Cass. Sez. </w:t>
      </w:r>
      <w:r w:rsidRPr="00BC2EFE">
        <w:rPr>
          <w:rFonts w:ascii="Times New Roman" w:hAnsi="Times New Roman" w:cs="Times New Roman"/>
        </w:rPr>
        <w:t xml:space="preserve">V, 11 maggio 2006, Formaggia, in </w:t>
      </w:r>
      <w:r w:rsidRPr="00BC2EFE">
        <w:rPr>
          <w:rFonts w:ascii="Times New Roman" w:hAnsi="Times New Roman" w:cs="Times New Roman"/>
          <w:i/>
          <w:iCs/>
        </w:rPr>
        <w:t>Cass. Pen.</w:t>
      </w:r>
      <w:r w:rsidRPr="00BC2EFE">
        <w:rPr>
          <w:rFonts w:ascii="Times New Roman" w:hAnsi="Times New Roman" w:cs="Times New Roman"/>
        </w:rPr>
        <w:t xml:space="preserve">, 2007, p. 560 s. </w:t>
      </w:r>
    </w:p>
  </w:footnote>
  <w:footnote w:id="17">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ad es., Cass. Sez. I, 10 febbraio 2005, Caruso, in </w:t>
      </w:r>
      <w:r w:rsidRPr="00BC2EFE">
        <w:rPr>
          <w:rFonts w:ascii="Times New Roman" w:hAnsi="Times New Roman" w:cs="Times New Roman"/>
          <w:i/>
          <w:iCs/>
        </w:rPr>
        <w:t>Cass. pen.</w:t>
      </w:r>
      <w:r w:rsidRPr="00BC2EFE">
        <w:rPr>
          <w:rFonts w:ascii="Times New Roman" w:hAnsi="Times New Roman" w:cs="Times New Roman"/>
        </w:rPr>
        <w:t xml:space="preserve">, 2006, p. 418 s.; Cass. Sez. I, 24 gennaio 2006, Bova, in </w:t>
      </w:r>
      <w:r w:rsidRPr="00BC2EFE">
        <w:rPr>
          <w:rFonts w:ascii="Times New Roman" w:hAnsi="Times New Roman" w:cs="Times New Roman"/>
          <w:i/>
          <w:iCs/>
        </w:rPr>
        <w:t>Dir. pen. proc.</w:t>
      </w:r>
      <w:r w:rsidRPr="00BC2EFE">
        <w:rPr>
          <w:rFonts w:ascii="Times New Roman" w:hAnsi="Times New Roman" w:cs="Times New Roman"/>
        </w:rPr>
        <w:t xml:space="preserve">, 2006, p. 614 s.; Cass. sez. I, 11 maggio 2006, Brusaferri, in </w:t>
      </w:r>
      <w:r w:rsidRPr="00BC2EFE">
        <w:rPr>
          <w:rFonts w:ascii="Times New Roman" w:hAnsi="Times New Roman" w:cs="Times New Roman"/>
          <w:i/>
          <w:iCs/>
        </w:rPr>
        <w:t>Riv. it. dir. proc. pen.</w:t>
      </w:r>
      <w:r w:rsidRPr="00BC2EFE">
        <w:rPr>
          <w:rFonts w:ascii="Times New Roman" w:hAnsi="Times New Roman" w:cs="Times New Roman"/>
        </w:rPr>
        <w:t xml:space="preserve">, 2006, p. 1633 s., con nota di </w:t>
      </w:r>
      <w:r w:rsidRPr="00BC2EFE">
        <w:rPr>
          <w:rFonts w:ascii="Times New Roman" w:hAnsi="Times New Roman" w:cs="Times New Roman"/>
          <w:smallCaps/>
        </w:rPr>
        <w:t>Risicato</w:t>
      </w:r>
      <w:r w:rsidRPr="00BC2EFE">
        <w:rPr>
          <w:rFonts w:ascii="Times New Roman" w:hAnsi="Times New Roman" w:cs="Times New Roman"/>
        </w:rPr>
        <w:t xml:space="preserve">; Cass. Sez. I, 24 febbraio 2010, Negro, in </w:t>
      </w:r>
      <w:r w:rsidRPr="00BC2EFE">
        <w:rPr>
          <w:rFonts w:ascii="Times New Roman" w:hAnsi="Times New Roman" w:cs="Times New Roman"/>
          <w:i/>
          <w:iCs/>
        </w:rPr>
        <w:t>CED Cassazione</w:t>
      </w:r>
      <w:r w:rsidRPr="00BC2EFE">
        <w:rPr>
          <w:rFonts w:ascii="Times New Roman" w:hAnsi="Times New Roman" w:cs="Times New Roman"/>
        </w:rPr>
        <w:t>, n. 246396.</w:t>
      </w:r>
    </w:p>
  </w:footnote>
  <w:footnote w:id="18">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ad es., Cass. Sez. VI, 16 dicembre 2004, Buglione, in </w:t>
      </w:r>
      <w:r w:rsidRPr="00BC2EFE">
        <w:rPr>
          <w:rFonts w:ascii="Times New Roman" w:hAnsi="Times New Roman" w:cs="Times New Roman"/>
          <w:i/>
          <w:iCs/>
        </w:rPr>
        <w:t>Cass. pen.</w:t>
      </w:r>
      <w:r w:rsidRPr="00BC2EFE">
        <w:rPr>
          <w:rFonts w:ascii="Times New Roman" w:hAnsi="Times New Roman" w:cs="Times New Roman"/>
        </w:rPr>
        <w:t xml:space="preserve">, 2006, p. 1566; Cass. Sez. I, 11 gennaio 2007, Ferlazzo, </w:t>
      </w:r>
      <w:r w:rsidRPr="0019593C">
        <w:rPr>
          <w:rFonts w:ascii="Times New Roman" w:hAnsi="Times New Roman" w:cs="Times New Roman"/>
          <w:i/>
          <w:iCs/>
        </w:rPr>
        <w:t>ivi</w:t>
      </w:r>
      <w:r w:rsidRPr="00BC2EFE">
        <w:rPr>
          <w:rFonts w:ascii="Times New Roman" w:hAnsi="Times New Roman" w:cs="Times New Roman"/>
        </w:rPr>
        <w:t xml:space="preserve">, 2007, p. 1484 s., con nota di </w:t>
      </w:r>
      <w:r w:rsidRPr="00BC2EFE">
        <w:rPr>
          <w:rFonts w:ascii="Times New Roman" w:hAnsi="Times New Roman" w:cs="Times New Roman"/>
          <w:smallCaps/>
        </w:rPr>
        <w:t>Caputo</w:t>
      </w:r>
      <w:r w:rsidRPr="00BC2EFE">
        <w:rPr>
          <w:rFonts w:ascii="Times New Roman" w:hAnsi="Times New Roman" w:cs="Times New Roman"/>
        </w:rPr>
        <w:t xml:space="preserve">. </w:t>
      </w:r>
    </w:p>
  </w:footnote>
  <w:footnote w:id="19">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a proposito del delitto di pubblicazioni e spettacoli osceni, Cass. Sez. I, 6 ottobre 1971, Battistini, in </w:t>
      </w:r>
      <w:r w:rsidRPr="00BC2EFE">
        <w:rPr>
          <w:rFonts w:ascii="Times New Roman" w:hAnsi="Times New Roman" w:cs="Times New Roman"/>
          <w:i/>
          <w:iCs/>
        </w:rPr>
        <w:t>Cass. pen. mass. ann.</w:t>
      </w:r>
      <w:r w:rsidRPr="00BC2EFE">
        <w:rPr>
          <w:rFonts w:ascii="Times New Roman" w:hAnsi="Times New Roman" w:cs="Times New Roman"/>
        </w:rPr>
        <w:t xml:space="preserve">, 1972, p. 1925 (pubblicazione di rivista per adulti); Trib. Cagliari, 10 agosto 1987, in </w:t>
      </w:r>
      <w:r w:rsidRPr="00BC2EFE">
        <w:rPr>
          <w:rFonts w:ascii="Times New Roman" w:hAnsi="Times New Roman" w:cs="Times New Roman"/>
          <w:i/>
          <w:iCs/>
        </w:rPr>
        <w:t>Riv. giur. sarda</w:t>
      </w:r>
      <w:r w:rsidRPr="00BC2EFE">
        <w:rPr>
          <w:rFonts w:ascii="Times New Roman" w:hAnsi="Times New Roman" w:cs="Times New Roman"/>
        </w:rPr>
        <w:t>, 1990, p. 834 s. (proiezione del film Ultimo tango a Parigi).</w:t>
      </w:r>
    </w:p>
  </w:footnote>
  <w:footnote w:id="20">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Cass. Sez. IV, 22 febbraio 2006, Sepe, in </w:t>
      </w:r>
      <w:r w:rsidRPr="00BC2EFE">
        <w:rPr>
          <w:rFonts w:ascii="Times New Roman" w:hAnsi="Times New Roman" w:cs="Times New Roman"/>
          <w:i/>
          <w:iCs/>
        </w:rPr>
        <w:t>CED Cassazione</w:t>
      </w:r>
      <w:r w:rsidRPr="00BC2EFE">
        <w:rPr>
          <w:rFonts w:ascii="Times New Roman" w:hAnsi="Times New Roman" w:cs="Times New Roman"/>
        </w:rPr>
        <w:t xml:space="preserve"> n. 234029, sent. n. 17230/2006 (nella motivazione), relativa tuttavia alla diversa ipotesi del trasferimento di una sostanza dall’elenco degli stupefacenti, richiamato dal reato di cui  all’art. 73, co. 1 t.u.l. stup., a quello dei c.d. precursori, cui fa riferimento il meno grave reato di cui all’art. 70, co. 12 t.u.l. stup. (il caso affrontato dalla citata sentenza pone pertanto un problema di applicabilità del quarto, e non già del secondo comma dell’art. 2 c.p.).</w:t>
      </w:r>
    </w:p>
  </w:footnote>
  <w:footnote w:id="21">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Cass. Sez. II, 8 ottobre 1975, Marino, in </w:t>
      </w:r>
      <w:r w:rsidRPr="00BC2EFE">
        <w:rPr>
          <w:rFonts w:ascii="Times New Roman" w:hAnsi="Times New Roman" w:cs="Times New Roman"/>
          <w:i/>
          <w:iCs/>
        </w:rPr>
        <w:t>Cass. pen. mass. ann.</w:t>
      </w:r>
      <w:r w:rsidRPr="00BC2EFE">
        <w:rPr>
          <w:rFonts w:ascii="Times New Roman" w:hAnsi="Times New Roman" w:cs="Times New Roman"/>
        </w:rPr>
        <w:t>, 1976, p. 1062.</w:t>
      </w:r>
    </w:p>
  </w:footnote>
  <w:footnote w:id="22">
    <w:p w:rsidR="00357AB3" w:rsidRDefault="00357AB3" w:rsidP="00BC2EFE">
      <w:pPr>
        <w:pStyle w:val="FootnoteText"/>
        <w:jc w:val="both"/>
      </w:pPr>
      <w:r w:rsidRPr="00BC2EFE">
        <w:rPr>
          <w:rStyle w:val="FootnoteReference"/>
          <w:rFonts w:ascii="Times New Roman" w:hAnsi="Times New Roman" w:cs="Times New Roman"/>
        </w:rPr>
        <w:footnoteRef/>
      </w:r>
      <w:r w:rsidRPr="00487871">
        <w:rPr>
          <w:rFonts w:ascii="Times New Roman" w:hAnsi="Times New Roman" w:cs="Times New Roman"/>
          <w:lang w:val="en-GB"/>
        </w:rPr>
        <w:t xml:space="preserve"> Cfr. Corte cost., sent. 25 gennaio 2010, n. 28, in </w:t>
      </w:r>
      <w:r w:rsidRPr="0019593C">
        <w:rPr>
          <w:rFonts w:ascii="Times New Roman" w:hAnsi="Times New Roman" w:cs="Times New Roman"/>
          <w:i/>
          <w:iCs/>
          <w:lang w:val="en-GB"/>
        </w:rPr>
        <w:t>Cass. pen.</w:t>
      </w:r>
      <w:r>
        <w:rPr>
          <w:rFonts w:ascii="Times New Roman" w:hAnsi="Times New Roman" w:cs="Times New Roman"/>
          <w:lang w:val="en-GB"/>
        </w:rPr>
        <w:t>, 2010, 1738</w:t>
      </w:r>
      <w:r w:rsidRPr="0019593C">
        <w:rPr>
          <w:rFonts w:ascii="Times New Roman" w:hAnsi="Times New Roman" w:cs="Times New Roman"/>
          <w:lang w:val="en-GB"/>
        </w:rPr>
        <w:t>;</w:t>
      </w:r>
      <w:r w:rsidRPr="00487871">
        <w:rPr>
          <w:rFonts w:ascii="Times New Roman" w:hAnsi="Times New Roman" w:cs="Times New Roman"/>
          <w:lang w:val="en-GB"/>
        </w:rPr>
        <w:t xml:space="preserve"> Cass. Sez. </w:t>
      </w:r>
      <w:r w:rsidRPr="00BC2EFE">
        <w:rPr>
          <w:rFonts w:ascii="Times New Roman" w:hAnsi="Times New Roman" w:cs="Times New Roman"/>
        </w:rPr>
        <w:t xml:space="preserve">III, 30 settembre 2008, n. 41839, in </w:t>
      </w:r>
      <w:r w:rsidRPr="00BC2EFE">
        <w:rPr>
          <w:rFonts w:ascii="Times New Roman" w:hAnsi="Times New Roman" w:cs="Times New Roman"/>
          <w:i/>
          <w:iCs/>
        </w:rPr>
        <w:t>DeJure</w:t>
      </w:r>
      <w:r w:rsidRPr="00BC2EFE">
        <w:rPr>
          <w:rFonts w:ascii="Times New Roman" w:hAnsi="Times New Roman" w:cs="Times New Roman"/>
        </w:rPr>
        <w:t xml:space="preserve"> (punto n. 4 della motivazione); Trib. Venezia, Sez. dist. Dolo, ord. 20 settembre 2006, M., in </w:t>
      </w:r>
      <w:r w:rsidRPr="00BC2EFE">
        <w:rPr>
          <w:rFonts w:ascii="Times New Roman" w:hAnsi="Times New Roman" w:cs="Times New Roman"/>
          <w:i/>
          <w:iCs/>
        </w:rPr>
        <w:t>Corr. merito</w:t>
      </w:r>
      <w:r w:rsidRPr="00BC2EFE">
        <w:rPr>
          <w:rFonts w:ascii="Times New Roman" w:hAnsi="Times New Roman" w:cs="Times New Roman"/>
        </w:rPr>
        <w:t xml:space="preserve">, 2007, p. 225 s., con nota di </w:t>
      </w:r>
      <w:r w:rsidRPr="00BC2EFE">
        <w:rPr>
          <w:rFonts w:ascii="Times New Roman" w:hAnsi="Times New Roman" w:cs="Times New Roman"/>
          <w:smallCaps/>
        </w:rPr>
        <w:t>Gatta.</w:t>
      </w:r>
    </w:p>
  </w:footnote>
  <w:footnote w:id="23">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Cass. Sez. V, 20 marzo 2007, Celotti, in </w:t>
      </w:r>
      <w:r w:rsidRPr="00BC2EFE">
        <w:rPr>
          <w:rFonts w:ascii="Times New Roman" w:hAnsi="Times New Roman" w:cs="Times New Roman"/>
          <w:i/>
          <w:iCs/>
        </w:rPr>
        <w:t>CED Cassazione</w:t>
      </w:r>
      <w:r w:rsidRPr="00BC2EFE">
        <w:rPr>
          <w:rFonts w:ascii="Times New Roman" w:hAnsi="Times New Roman" w:cs="Times New Roman"/>
        </w:rPr>
        <w:t xml:space="preserve">, n. 237025, sent. n. 19297/2007; Cass. Sez. V, 18 ottobre 2007, Rizzo, in </w:t>
      </w:r>
      <w:r w:rsidRPr="00BC2EFE">
        <w:rPr>
          <w:rFonts w:ascii="Times New Roman" w:hAnsi="Times New Roman" w:cs="Times New Roman"/>
          <w:i/>
          <w:iCs/>
        </w:rPr>
        <w:t>CED Cassazione</w:t>
      </w:r>
      <w:r w:rsidRPr="00BC2EFE">
        <w:rPr>
          <w:rFonts w:ascii="Times New Roman" w:hAnsi="Times New Roman" w:cs="Times New Roman"/>
        </w:rPr>
        <w:t>, n. 237547, sent. n. 43076/2007.</w:t>
      </w:r>
    </w:p>
  </w:footnote>
  <w:footnote w:id="24">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Per un esame dei diversi criteri di soluzione del problema della successione di norme “integratrici”, prospettati dalla dottrina, sia consentito rinviare a </w:t>
      </w:r>
      <w:r w:rsidRPr="00BC2EFE">
        <w:rPr>
          <w:rFonts w:ascii="Times New Roman" w:hAnsi="Times New Roman" w:cs="Times New Roman"/>
          <w:smallCaps/>
        </w:rPr>
        <w:t>Gatta</w:t>
      </w:r>
      <w:r w:rsidRPr="00BC2EFE">
        <w:rPr>
          <w:rFonts w:ascii="Times New Roman" w:hAnsi="Times New Roman" w:cs="Times New Roman"/>
        </w:rPr>
        <w:t xml:space="preserve">, Abolitio criminis </w:t>
      </w:r>
      <w:r w:rsidRPr="00BC2EFE">
        <w:rPr>
          <w:rFonts w:ascii="Times New Roman" w:hAnsi="Times New Roman" w:cs="Times New Roman"/>
          <w:i/>
          <w:iCs/>
        </w:rPr>
        <w:t>e successione di norme “integratrici”</w:t>
      </w:r>
      <w:r w:rsidRPr="00BC2EFE">
        <w:rPr>
          <w:rFonts w:ascii="Times New Roman" w:hAnsi="Times New Roman" w:cs="Times New Roman"/>
        </w:rPr>
        <w:t>, cit., p. 236 s.</w:t>
      </w:r>
    </w:p>
  </w:footnote>
  <w:footnote w:id="25">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In </w:t>
      </w:r>
      <w:r w:rsidRPr="00BC2EFE">
        <w:rPr>
          <w:rFonts w:ascii="Times New Roman" w:hAnsi="Times New Roman" w:cs="Times New Roman"/>
          <w:i/>
          <w:iCs/>
        </w:rPr>
        <w:t>Cass. pen.</w:t>
      </w:r>
      <w:r w:rsidRPr="00BC2EFE">
        <w:rPr>
          <w:rFonts w:ascii="Times New Roman" w:hAnsi="Times New Roman" w:cs="Times New Roman"/>
        </w:rPr>
        <w:t xml:space="preserve">, 2008, p. 898 s., con nota di </w:t>
      </w:r>
      <w:r w:rsidRPr="00BC2EFE">
        <w:rPr>
          <w:rFonts w:ascii="Times New Roman" w:hAnsi="Times New Roman" w:cs="Times New Roman"/>
          <w:smallCaps/>
        </w:rPr>
        <w:t>Gambardella</w:t>
      </w:r>
      <w:r w:rsidRPr="00BC2EFE">
        <w:rPr>
          <w:rFonts w:ascii="Times New Roman" w:hAnsi="Times New Roman" w:cs="Times New Roman"/>
        </w:rPr>
        <w:t>.</w:t>
      </w:r>
    </w:p>
  </w:footnote>
  <w:footnote w:id="26">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Casi del tutto analoghi sono stati affrontati dalla giurisprudenza a proposito dei reati di </w:t>
      </w:r>
      <w:r w:rsidRPr="00BC2EFE">
        <w:rPr>
          <w:rFonts w:ascii="Times New Roman" w:hAnsi="Times New Roman" w:cs="Times New Roman"/>
          <w:i/>
          <w:iCs/>
        </w:rPr>
        <w:t>favoreggiamento dell’immigrazione clandestina</w:t>
      </w:r>
      <w:r w:rsidRPr="00BC2EFE">
        <w:rPr>
          <w:rFonts w:ascii="Times New Roman" w:hAnsi="Times New Roman" w:cs="Times New Roman"/>
        </w:rPr>
        <w:t xml:space="preserve"> (art. 12, co. 3 t.u. imm.: v. </w:t>
      </w:r>
      <w:r w:rsidRPr="00BC2EFE">
        <w:rPr>
          <w:rFonts w:ascii="Times New Roman" w:hAnsi="Times New Roman" w:cs="Times New Roman"/>
          <w:i/>
          <w:iCs/>
        </w:rPr>
        <w:t>supra</w:t>
      </w:r>
      <w:r w:rsidRPr="00BC2EFE">
        <w:rPr>
          <w:rFonts w:ascii="Times New Roman" w:hAnsi="Times New Roman" w:cs="Times New Roman"/>
        </w:rPr>
        <w:t xml:space="preserve">, nota n. 17); </w:t>
      </w:r>
      <w:r w:rsidRPr="00BC2EFE">
        <w:rPr>
          <w:rFonts w:ascii="Times New Roman" w:hAnsi="Times New Roman" w:cs="Times New Roman"/>
          <w:i/>
          <w:iCs/>
        </w:rPr>
        <w:t>favoreggiamento dell’emigrazione clandestina di cittadini extracomunitari dall’Italia verso l’estero</w:t>
      </w:r>
      <w:r w:rsidRPr="00BC2EFE">
        <w:rPr>
          <w:rFonts w:ascii="Times New Roman" w:hAnsi="Times New Roman" w:cs="Times New Roman"/>
        </w:rPr>
        <w:t xml:space="preserve"> (art. 12, co. 1 t.u. imm.: cfr. Cass. Sez. I, 15 giugno 2007, Afloarei, in </w:t>
      </w:r>
      <w:r w:rsidRPr="0019593C">
        <w:rPr>
          <w:rFonts w:ascii="Times New Roman" w:hAnsi="Times New Roman" w:cs="Times New Roman"/>
          <w:i/>
          <w:iCs/>
        </w:rPr>
        <w:t>C</w:t>
      </w:r>
      <w:r>
        <w:rPr>
          <w:rFonts w:ascii="Times New Roman" w:hAnsi="Times New Roman" w:cs="Times New Roman"/>
          <w:i/>
          <w:iCs/>
        </w:rPr>
        <w:t>ed</w:t>
      </w:r>
      <w:r w:rsidRPr="0019593C">
        <w:rPr>
          <w:rFonts w:ascii="Times New Roman" w:hAnsi="Times New Roman" w:cs="Times New Roman"/>
          <w:i/>
          <w:iCs/>
        </w:rPr>
        <w:t xml:space="preserve"> Cassazione</w:t>
      </w:r>
      <w:r w:rsidRPr="00BC2EFE">
        <w:rPr>
          <w:rFonts w:ascii="Times New Roman" w:hAnsi="Times New Roman" w:cs="Times New Roman"/>
        </w:rPr>
        <w:t xml:space="preserve">, n. 237467, sent. n. 29728/2007); </w:t>
      </w:r>
      <w:r w:rsidRPr="00BC2EFE">
        <w:rPr>
          <w:rFonts w:ascii="Times New Roman" w:hAnsi="Times New Roman" w:cs="Times New Roman"/>
          <w:i/>
          <w:iCs/>
        </w:rPr>
        <w:t>occupazione alle proprie dipendenze di lavoratori stranieri privi del permesso di soggiorno, ovvero con permesso scaduto, revocato o annullato</w:t>
      </w:r>
      <w:r w:rsidRPr="00BC2EFE">
        <w:rPr>
          <w:rFonts w:ascii="Times New Roman" w:hAnsi="Times New Roman" w:cs="Times New Roman"/>
        </w:rPr>
        <w:t xml:space="preserve"> (art. 22, co. 12 t.u. imm. Cfr. Trib. Verona, 17 gennaio 2007, S., in </w:t>
      </w:r>
      <w:r w:rsidRPr="00BC2EFE">
        <w:rPr>
          <w:rFonts w:ascii="Times New Roman" w:hAnsi="Times New Roman" w:cs="Times New Roman"/>
          <w:i/>
          <w:iCs/>
        </w:rPr>
        <w:t>Corr. merito</w:t>
      </w:r>
      <w:r w:rsidRPr="00BC2EFE">
        <w:rPr>
          <w:rFonts w:ascii="Times New Roman" w:hAnsi="Times New Roman" w:cs="Times New Roman"/>
        </w:rPr>
        <w:t xml:space="preserve">, 2007, p. 610 s. e Trib. Verona, 18 gennaio 2007, N., </w:t>
      </w:r>
      <w:r w:rsidRPr="00BC2EFE">
        <w:rPr>
          <w:rFonts w:ascii="Times New Roman" w:hAnsi="Times New Roman" w:cs="Times New Roman"/>
          <w:i/>
          <w:iCs/>
        </w:rPr>
        <w:t>ivi</w:t>
      </w:r>
      <w:r w:rsidRPr="00BC2EFE">
        <w:rPr>
          <w:rFonts w:ascii="Times New Roman" w:hAnsi="Times New Roman" w:cs="Times New Roman"/>
        </w:rPr>
        <w:t xml:space="preserve">, p. 611 s., entrambe con annotazione di </w:t>
      </w:r>
      <w:r w:rsidRPr="00BC2EFE">
        <w:rPr>
          <w:rFonts w:ascii="Times New Roman" w:hAnsi="Times New Roman" w:cs="Times New Roman"/>
          <w:smallCaps/>
        </w:rPr>
        <w:t>Gatta</w:t>
      </w:r>
      <w:r w:rsidRPr="00BC2EFE">
        <w:rPr>
          <w:rFonts w:ascii="Times New Roman" w:hAnsi="Times New Roman" w:cs="Times New Roman"/>
        </w:rPr>
        <w:t xml:space="preserve">. </w:t>
      </w:r>
    </w:p>
  </w:footnote>
  <w:footnote w:id="27">
    <w:p w:rsidR="00357AB3" w:rsidRDefault="00357AB3" w:rsidP="00BC2EFE">
      <w:pPr>
        <w:pStyle w:val="FootnoteText"/>
        <w:jc w:val="both"/>
      </w:pPr>
      <w:r w:rsidRPr="00BC2EFE">
        <w:rPr>
          <w:rFonts w:ascii="Times New Roman" w:hAnsi="Times New Roman" w:cs="Times New Roman"/>
          <w:vertAlign w:val="superscript"/>
        </w:rPr>
        <w:footnoteRef/>
      </w:r>
      <w:r w:rsidRPr="00BC2EFE">
        <w:rPr>
          <w:rFonts w:ascii="Times New Roman" w:hAnsi="Times New Roman" w:cs="Times New Roman"/>
        </w:rPr>
        <w:t xml:space="preserve"> In </w:t>
      </w:r>
      <w:r w:rsidRPr="00BC2EFE">
        <w:rPr>
          <w:rFonts w:ascii="Times New Roman" w:hAnsi="Times New Roman" w:cs="Times New Roman"/>
          <w:i/>
          <w:iCs/>
        </w:rPr>
        <w:t>Cass. pen.</w:t>
      </w:r>
      <w:r w:rsidRPr="00BC2EFE">
        <w:rPr>
          <w:rFonts w:ascii="Times New Roman" w:hAnsi="Times New Roman" w:cs="Times New Roman"/>
        </w:rPr>
        <w:t xml:space="preserve">, 2008, p. 3592 s., con nota di </w:t>
      </w:r>
      <w:r w:rsidRPr="00BC2EFE">
        <w:rPr>
          <w:rFonts w:ascii="Times New Roman" w:hAnsi="Times New Roman" w:cs="Times New Roman"/>
          <w:smallCaps/>
        </w:rPr>
        <w:t>Ambrosetti</w:t>
      </w:r>
      <w:r w:rsidRPr="00BC2EFE">
        <w:rPr>
          <w:rFonts w:ascii="Times New Roman" w:hAnsi="Times New Roman" w:cs="Times New Roman"/>
        </w:rPr>
        <w:t>.</w:t>
      </w:r>
    </w:p>
  </w:footnote>
  <w:footnote w:id="28">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V. le sentenze citate </w:t>
      </w:r>
      <w:r w:rsidRPr="00BC2EFE">
        <w:rPr>
          <w:rFonts w:ascii="Times New Roman" w:hAnsi="Times New Roman" w:cs="Times New Roman"/>
          <w:i/>
          <w:iCs/>
        </w:rPr>
        <w:t>supra</w:t>
      </w:r>
      <w:r w:rsidRPr="00BC2EFE">
        <w:rPr>
          <w:rFonts w:ascii="Times New Roman" w:hAnsi="Times New Roman" w:cs="Times New Roman"/>
        </w:rPr>
        <w:t>, alla nota n. 22.</w:t>
      </w:r>
    </w:p>
  </w:footnote>
  <w:footnote w:id="29">
    <w:p w:rsidR="00357AB3" w:rsidRDefault="00357AB3" w:rsidP="00BC2EFE">
      <w:pPr>
        <w:pStyle w:val="FootnoteText"/>
        <w:jc w:val="both"/>
      </w:pPr>
      <w:r w:rsidRPr="00BC2EFE">
        <w:rPr>
          <w:rStyle w:val="FootnoteReference"/>
          <w:rFonts w:ascii="Times New Roman" w:hAnsi="Times New Roman" w:cs="Times New Roman"/>
        </w:rPr>
        <w:footnoteRef/>
      </w:r>
      <w:r>
        <w:rPr>
          <w:rFonts w:ascii="Times New Roman" w:hAnsi="Times New Roman" w:cs="Times New Roman"/>
        </w:rPr>
        <w:t xml:space="preserve"> I</w:t>
      </w:r>
      <w:r w:rsidRPr="00BC2EFE">
        <w:rPr>
          <w:rFonts w:ascii="Times New Roman" w:hAnsi="Times New Roman" w:cs="Times New Roman"/>
        </w:rPr>
        <w:t xml:space="preserve">n </w:t>
      </w:r>
      <w:r w:rsidRPr="00BC2EFE">
        <w:rPr>
          <w:rFonts w:ascii="Times New Roman" w:hAnsi="Times New Roman" w:cs="Times New Roman"/>
          <w:i/>
          <w:iCs/>
        </w:rPr>
        <w:t>Riv. it. dir. proc. pen.</w:t>
      </w:r>
      <w:r w:rsidRPr="00BC2EFE">
        <w:rPr>
          <w:rFonts w:ascii="Times New Roman" w:hAnsi="Times New Roman" w:cs="Times New Roman"/>
        </w:rPr>
        <w:t>, 2010,</w:t>
      </w:r>
      <w:r>
        <w:rPr>
          <w:rFonts w:ascii="Times New Roman" w:hAnsi="Times New Roman" w:cs="Times New Roman"/>
        </w:rPr>
        <w:t xml:space="preserve"> 887 s., </w:t>
      </w:r>
      <w:r w:rsidRPr="00BC2EFE">
        <w:rPr>
          <w:rFonts w:ascii="Times New Roman" w:hAnsi="Times New Roman" w:cs="Times New Roman"/>
        </w:rPr>
        <w:t xml:space="preserve">con nota di </w:t>
      </w:r>
      <w:r w:rsidRPr="00BC2EFE">
        <w:rPr>
          <w:rFonts w:ascii="Times New Roman" w:hAnsi="Times New Roman" w:cs="Times New Roman"/>
          <w:smallCaps/>
        </w:rPr>
        <w:t>Gatta</w:t>
      </w:r>
      <w:r>
        <w:rPr>
          <w:rFonts w:ascii="Times New Roman" w:hAnsi="Times New Roman" w:cs="Times New Roman"/>
          <w:smallCaps/>
        </w:rPr>
        <w:t xml:space="preserve">, </w:t>
      </w:r>
      <w:r w:rsidRPr="00161887">
        <w:rPr>
          <w:rFonts w:ascii="Times New Roman" w:hAnsi="Times New Roman" w:cs="Times New Roman"/>
          <w:i/>
          <w:iCs/>
        </w:rPr>
        <w:t xml:space="preserve">Abolizione dell’amministrazione controllata e </w:t>
      </w:r>
      <w:r w:rsidRPr="00161887">
        <w:rPr>
          <w:rFonts w:ascii="Times New Roman" w:hAnsi="Times New Roman" w:cs="Times New Roman"/>
        </w:rPr>
        <w:t xml:space="preserve">abolitio criminis </w:t>
      </w:r>
      <w:r w:rsidRPr="00161887">
        <w:rPr>
          <w:rFonts w:ascii="Times New Roman" w:hAnsi="Times New Roman" w:cs="Times New Roman"/>
          <w:i/>
          <w:iCs/>
        </w:rPr>
        <w:t xml:space="preserve">della bancarotta impropria </w:t>
      </w:r>
      <w:r w:rsidRPr="00161887">
        <w:rPr>
          <w:rFonts w:ascii="Times New Roman" w:hAnsi="Times New Roman" w:cs="Times New Roman"/>
        </w:rPr>
        <w:t>ex</w:t>
      </w:r>
      <w:r w:rsidRPr="00161887">
        <w:rPr>
          <w:rFonts w:ascii="Times New Roman" w:hAnsi="Times New Roman" w:cs="Times New Roman"/>
          <w:i/>
          <w:iCs/>
        </w:rPr>
        <w:t xml:space="preserve"> art. 236, comma 2, n. 1 legge fallimentare.</w:t>
      </w:r>
    </w:p>
  </w:footnote>
  <w:footnote w:id="30">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Così Cass. S.U., 26 febbraio 2009, Rizzoli, cit., punto 3a della motivazione (corsivi nostri). </w:t>
      </w:r>
      <w:r>
        <w:rPr>
          <w:rFonts w:ascii="Times New Roman" w:hAnsi="Times New Roman" w:cs="Times New Roman"/>
        </w:rPr>
        <w:t xml:space="preserve">Ci sembra che la citazione delle S.U. faccia testuale riferimento al nostro lavoro </w:t>
      </w:r>
      <w:r w:rsidRPr="00BC2EFE">
        <w:rPr>
          <w:rFonts w:ascii="Times New Roman" w:hAnsi="Times New Roman" w:cs="Times New Roman"/>
        </w:rPr>
        <w:t xml:space="preserve">Abolitio criminis </w:t>
      </w:r>
      <w:r w:rsidRPr="00BC2EFE">
        <w:rPr>
          <w:rFonts w:ascii="Times New Roman" w:hAnsi="Times New Roman" w:cs="Times New Roman"/>
          <w:i/>
          <w:iCs/>
        </w:rPr>
        <w:t>e successione di norme “integratrici”,</w:t>
      </w:r>
      <w:r w:rsidRPr="00BC2EFE">
        <w:rPr>
          <w:rFonts w:ascii="Times New Roman" w:hAnsi="Times New Roman" w:cs="Times New Roman"/>
        </w:rPr>
        <w:t xml:space="preserve"> cit., p. 145.</w:t>
      </w:r>
    </w:p>
  </w:footnote>
  <w:footnote w:id="31">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Cass. S.U., 23 maggio 1987, Tuzet, cit. (v. </w:t>
      </w:r>
      <w:r w:rsidRPr="00BC2EFE">
        <w:rPr>
          <w:rFonts w:ascii="Times New Roman" w:hAnsi="Times New Roman" w:cs="Times New Roman"/>
          <w:i/>
          <w:iCs/>
        </w:rPr>
        <w:t>supra</w:t>
      </w:r>
      <w:r w:rsidRPr="00BC2EFE">
        <w:rPr>
          <w:rFonts w:ascii="Times New Roman" w:hAnsi="Times New Roman" w:cs="Times New Roman"/>
        </w:rPr>
        <w:t>, nota n. 9).</w:t>
      </w:r>
    </w:p>
  </w:footnote>
  <w:footnote w:id="32">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Per l’adozione di tale criterio v., in dottrina, tra gli altri, </w:t>
      </w:r>
      <w:r w:rsidRPr="00BC2EFE">
        <w:rPr>
          <w:rFonts w:ascii="Times New Roman" w:hAnsi="Times New Roman" w:cs="Times New Roman"/>
          <w:smallCaps/>
        </w:rPr>
        <w:t>Fiandaca-Musco</w:t>
      </w:r>
      <w:r w:rsidRPr="00BC2EFE">
        <w:rPr>
          <w:rFonts w:ascii="Times New Roman" w:hAnsi="Times New Roman" w:cs="Times New Roman"/>
        </w:rPr>
        <w:t xml:space="preserve">, </w:t>
      </w:r>
      <w:r w:rsidRPr="00BC2EFE">
        <w:rPr>
          <w:rFonts w:ascii="Times New Roman" w:hAnsi="Times New Roman" w:cs="Times New Roman"/>
          <w:i/>
          <w:iCs/>
        </w:rPr>
        <w:t>Diritto penale. Parte generale</w:t>
      </w:r>
      <w:r w:rsidRPr="00BC2EFE">
        <w:rPr>
          <w:rFonts w:ascii="Times New Roman" w:hAnsi="Times New Roman" w:cs="Times New Roman"/>
        </w:rPr>
        <w:t xml:space="preserve">, </w:t>
      </w:r>
      <w:r>
        <w:rPr>
          <w:rFonts w:ascii="Times New Roman" w:hAnsi="Times New Roman" w:cs="Times New Roman"/>
        </w:rPr>
        <w:t>6</w:t>
      </w:r>
      <w:r w:rsidRPr="00BC2EFE">
        <w:rPr>
          <w:rFonts w:ascii="Times New Roman" w:hAnsi="Times New Roman" w:cs="Times New Roman"/>
          <w:vertAlign w:val="superscript"/>
        </w:rPr>
        <w:t>a</w:t>
      </w:r>
      <w:r w:rsidRPr="00BC2EFE">
        <w:rPr>
          <w:rFonts w:ascii="Times New Roman" w:hAnsi="Times New Roman" w:cs="Times New Roman"/>
        </w:rPr>
        <w:t xml:space="preserve"> ed., Bologna, 200</w:t>
      </w:r>
      <w:r>
        <w:rPr>
          <w:rFonts w:ascii="Times New Roman" w:hAnsi="Times New Roman" w:cs="Times New Roman"/>
        </w:rPr>
        <w:t>9</w:t>
      </w:r>
      <w:r w:rsidRPr="00BC2EFE">
        <w:rPr>
          <w:rFonts w:ascii="Times New Roman" w:hAnsi="Times New Roman" w:cs="Times New Roman"/>
        </w:rPr>
        <w:t>, p. 9</w:t>
      </w:r>
      <w:r>
        <w:rPr>
          <w:rFonts w:ascii="Times New Roman" w:hAnsi="Times New Roman" w:cs="Times New Roman"/>
        </w:rPr>
        <w:t>5</w:t>
      </w:r>
      <w:r w:rsidRPr="00BC2EFE">
        <w:rPr>
          <w:rFonts w:ascii="Times New Roman" w:hAnsi="Times New Roman" w:cs="Times New Roman"/>
        </w:rPr>
        <w:t xml:space="preserve">; </w:t>
      </w:r>
      <w:r w:rsidRPr="00BC2EFE">
        <w:rPr>
          <w:rFonts w:ascii="Times New Roman" w:hAnsi="Times New Roman" w:cs="Times New Roman"/>
          <w:smallCaps/>
        </w:rPr>
        <w:t>Padovani</w:t>
      </w:r>
      <w:r w:rsidRPr="00BC2EFE">
        <w:rPr>
          <w:rFonts w:ascii="Times New Roman" w:hAnsi="Times New Roman" w:cs="Times New Roman"/>
        </w:rPr>
        <w:t xml:space="preserve">, </w:t>
      </w:r>
      <w:r w:rsidRPr="00BC2EFE">
        <w:rPr>
          <w:rFonts w:ascii="Times New Roman" w:hAnsi="Times New Roman" w:cs="Times New Roman"/>
          <w:i/>
          <w:iCs/>
        </w:rPr>
        <w:t>Diritto penale</w:t>
      </w:r>
      <w:r w:rsidRPr="00BC2EFE">
        <w:rPr>
          <w:rFonts w:ascii="Times New Roman" w:hAnsi="Times New Roman" w:cs="Times New Roman"/>
        </w:rPr>
        <w:t xml:space="preserve">, </w:t>
      </w:r>
      <w:r>
        <w:rPr>
          <w:rFonts w:ascii="Times New Roman" w:hAnsi="Times New Roman" w:cs="Times New Roman"/>
        </w:rPr>
        <w:t>9</w:t>
      </w:r>
      <w:r w:rsidRPr="00BC2EFE">
        <w:rPr>
          <w:rFonts w:ascii="Times New Roman" w:hAnsi="Times New Roman" w:cs="Times New Roman"/>
          <w:vertAlign w:val="superscript"/>
        </w:rPr>
        <w:t>a</w:t>
      </w:r>
      <w:r w:rsidRPr="00BC2EFE">
        <w:rPr>
          <w:rFonts w:ascii="Times New Roman" w:hAnsi="Times New Roman" w:cs="Times New Roman"/>
        </w:rPr>
        <w:t xml:space="preserve"> ed., Milano, Giuffrè, 200</w:t>
      </w:r>
      <w:r>
        <w:rPr>
          <w:rFonts w:ascii="Times New Roman" w:hAnsi="Times New Roman" w:cs="Times New Roman"/>
        </w:rPr>
        <w:t>8</w:t>
      </w:r>
      <w:r w:rsidRPr="00BC2EFE">
        <w:rPr>
          <w:rFonts w:ascii="Times New Roman" w:hAnsi="Times New Roman" w:cs="Times New Roman"/>
        </w:rPr>
        <w:t>, p. 4</w:t>
      </w:r>
      <w:r>
        <w:rPr>
          <w:rFonts w:ascii="Times New Roman" w:hAnsi="Times New Roman" w:cs="Times New Roman"/>
        </w:rPr>
        <w:t>3</w:t>
      </w:r>
      <w:r w:rsidRPr="00BC2EFE">
        <w:rPr>
          <w:rFonts w:ascii="Times New Roman" w:hAnsi="Times New Roman" w:cs="Times New Roman"/>
        </w:rPr>
        <w:t xml:space="preserve">; </w:t>
      </w:r>
      <w:r w:rsidRPr="00BC2EFE">
        <w:rPr>
          <w:rFonts w:ascii="Times New Roman" w:hAnsi="Times New Roman" w:cs="Times New Roman"/>
          <w:smallCaps/>
        </w:rPr>
        <w:t>Risicato</w:t>
      </w:r>
      <w:r w:rsidRPr="00BC2EFE">
        <w:rPr>
          <w:rFonts w:ascii="Times New Roman" w:hAnsi="Times New Roman" w:cs="Times New Roman"/>
        </w:rPr>
        <w:t xml:space="preserve">, </w:t>
      </w:r>
      <w:r w:rsidRPr="00BC2EFE">
        <w:rPr>
          <w:rFonts w:ascii="Times New Roman" w:hAnsi="Times New Roman" w:cs="Times New Roman"/>
          <w:i/>
          <w:iCs/>
        </w:rPr>
        <w:t>Gli elementi normativi della fattispecie penale</w:t>
      </w:r>
      <w:r w:rsidRPr="00BC2EFE">
        <w:rPr>
          <w:rFonts w:ascii="Times New Roman" w:hAnsi="Times New Roman" w:cs="Times New Roman"/>
        </w:rPr>
        <w:t>, p. 273 s.</w:t>
      </w:r>
    </w:p>
  </w:footnote>
  <w:footnote w:id="33">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Cass. S. U., 26 marzo 2003, Giordano, in </w:t>
      </w:r>
      <w:r w:rsidRPr="00BC2EFE">
        <w:rPr>
          <w:rFonts w:ascii="Times New Roman" w:hAnsi="Times New Roman" w:cs="Times New Roman"/>
          <w:i/>
          <w:iCs/>
        </w:rPr>
        <w:t>Riv. it. dir. proc. pen.</w:t>
      </w:r>
      <w:r w:rsidRPr="00BC2EFE">
        <w:rPr>
          <w:rFonts w:ascii="Times New Roman" w:hAnsi="Times New Roman" w:cs="Times New Roman"/>
        </w:rPr>
        <w:t xml:space="preserve">, 2003, p. 1503 s., con nota di </w:t>
      </w:r>
      <w:r w:rsidRPr="00BC2EFE">
        <w:rPr>
          <w:rFonts w:ascii="Times New Roman" w:hAnsi="Times New Roman" w:cs="Times New Roman"/>
          <w:smallCaps/>
        </w:rPr>
        <w:t>C. Pecorella</w:t>
      </w:r>
      <w:r w:rsidRPr="00BC2EFE">
        <w:rPr>
          <w:rFonts w:ascii="Times New Roman" w:hAnsi="Times New Roman" w:cs="Times New Roman"/>
        </w:rPr>
        <w:t>.</w:t>
      </w:r>
    </w:p>
  </w:footnote>
  <w:footnote w:id="34">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Cass. S.U., 26 febbraio 2009, Rizzoli, cit.</w:t>
      </w:r>
      <w:r>
        <w:rPr>
          <w:rFonts w:ascii="Times New Roman" w:hAnsi="Times New Roman" w:cs="Times New Roman"/>
        </w:rPr>
        <w:t>, punto 3 della motivazione (corsivo nostro).</w:t>
      </w:r>
    </w:p>
  </w:footnote>
  <w:footnote w:id="35">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Per questa impostazione sia consentito rinviare a </w:t>
      </w:r>
      <w:r w:rsidRPr="00BC2EFE">
        <w:rPr>
          <w:rFonts w:ascii="Times New Roman" w:hAnsi="Times New Roman" w:cs="Times New Roman"/>
          <w:smallCaps/>
        </w:rPr>
        <w:t>Gatta</w:t>
      </w:r>
      <w:r w:rsidRPr="00BC2EFE">
        <w:rPr>
          <w:rFonts w:ascii="Times New Roman" w:hAnsi="Times New Roman" w:cs="Times New Roman"/>
        </w:rPr>
        <w:t xml:space="preserve">, Abolitio criminis </w:t>
      </w:r>
      <w:r w:rsidRPr="00BC2EFE">
        <w:rPr>
          <w:rFonts w:ascii="Times New Roman" w:hAnsi="Times New Roman" w:cs="Times New Roman"/>
          <w:i/>
          <w:iCs/>
        </w:rPr>
        <w:t>e successione di norme integratrici</w:t>
      </w:r>
      <w:r w:rsidRPr="00BC2EFE">
        <w:rPr>
          <w:rFonts w:ascii="Times New Roman" w:hAnsi="Times New Roman" w:cs="Times New Roman"/>
        </w:rPr>
        <w:t xml:space="preserve">, cit., p. 246. V. inoltre, tra gli altri, </w:t>
      </w:r>
      <w:r w:rsidRPr="00BC2EFE">
        <w:rPr>
          <w:rFonts w:ascii="Times New Roman" w:hAnsi="Times New Roman" w:cs="Times New Roman"/>
          <w:smallCaps/>
        </w:rPr>
        <w:t>Marinucci-Dolcini</w:t>
      </w:r>
      <w:r w:rsidRPr="00BC2EFE">
        <w:rPr>
          <w:rFonts w:ascii="Times New Roman" w:hAnsi="Times New Roman" w:cs="Times New Roman"/>
        </w:rPr>
        <w:t xml:space="preserve">, </w:t>
      </w:r>
      <w:r w:rsidRPr="00BC2EFE">
        <w:rPr>
          <w:rFonts w:ascii="Times New Roman" w:hAnsi="Times New Roman" w:cs="Times New Roman"/>
          <w:i/>
          <w:iCs/>
        </w:rPr>
        <w:t>Corso di diritto penale</w:t>
      </w:r>
      <w:r w:rsidRPr="00BC2EFE">
        <w:rPr>
          <w:rFonts w:ascii="Times New Roman" w:hAnsi="Times New Roman" w:cs="Times New Roman"/>
        </w:rPr>
        <w:t>, 3</w:t>
      </w:r>
      <w:r w:rsidRPr="00BC2EFE">
        <w:rPr>
          <w:rFonts w:ascii="Times New Roman" w:hAnsi="Times New Roman" w:cs="Times New Roman"/>
          <w:vertAlign w:val="superscript"/>
        </w:rPr>
        <w:t>a</w:t>
      </w:r>
      <w:r w:rsidRPr="00BC2EFE">
        <w:rPr>
          <w:rFonts w:ascii="Times New Roman" w:hAnsi="Times New Roman" w:cs="Times New Roman"/>
        </w:rPr>
        <w:t xml:space="preserve"> ed., Milano, Giuffrè, 2001, p. 273 s. e 280 s.; </w:t>
      </w:r>
      <w:r w:rsidRPr="00BC2EFE">
        <w:rPr>
          <w:rFonts w:ascii="Times New Roman" w:hAnsi="Times New Roman" w:cs="Times New Roman"/>
          <w:smallCaps/>
        </w:rPr>
        <w:t>Gambardella</w:t>
      </w:r>
      <w:r w:rsidRPr="00BC2EFE">
        <w:rPr>
          <w:rFonts w:ascii="Times New Roman" w:hAnsi="Times New Roman" w:cs="Times New Roman"/>
        </w:rPr>
        <w:t xml:space="preserve">, </w:t>
      </w:r>
      <w:r w:rsidRPr="00BC2EFE">
        <w:rPr>
          <w:rFonts w:ascii="Times New Roman" w:hAnsi="Times New Roman" w:cs="Times New Roman"/>
          <w:i/>
          <w:iCs/>
        </w:rPr>
        <w:t>L’abrogazione della norma incriminatrice</w:t>
      </w:r>
      <w:r w:rsidRPr="00BC2EFE">
        <w:rPr>
          <w:rFonts w:ascii="Times New Roman" w:hAnsi="Times New Roman" w:cs="Times New Roman"/>
        </w:rPr>
        <w:t>, Napoli, Jovene, 2008, p. 262 s.</w:t>
      </w:r>
    </w:p>
  </w:footnote>
  <w:footnote w:id="36">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Cass. S.U., 27 settembre 2007, Magera, cit., punto n. 3 della motivazione (corsivo nostro).</w:t>
      </w:r>
    </w:p>
  </w:footnote>
  <w:footnote w:id="37">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Cass. S.U., 28 febbraio 2008, Niccoli, cit., punto n. 6.2. della motivazione (corsivo nostro).</w:t>
      </w:r>
    </w:p>
  </w:footnote>
  <w:footnote w:id="38">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Cass. S.U., 27 settembre 2007, Magera, cit., punto n. 5 della motivazione (corsivo nostro). Per questa impostazione sia consentito rinviare a </w:t>
      </w:r>
      <w:r w:rsidRPr="00BC2EFE">
        <w:rPr>
          <w:rFonts w:ascii="Times New Roman" w:hAnsi="Times New Roman" w:cs="Times New Roman"/>
          <w:smallCaps/>
        </w:rPr>
        <w:t>Gatta</w:t>
      </w:r>
      <w:r w:rsidRPr="00BC2EFE">
        <w:rPr>
          <w:rFonts w:ascii="Times New Roman" w:hAnsi="Times New Roman" w:cs="Times New Roman"/>
        </w:rPr>
        <w:t xml:space="preserve">, Abolitio criminis </w:t>
      </w:r>
      <w:r w:rsidRPr="00BC2EFE">
        <w:rPr>
          <w:rFonts w:ascii="Times New Roman" w:hAnsi="Times New Roman" w:cs="Times New Roman"/>
          <w:i/>
          <w:iCs/>
        </w:rPr>
        <w:t>e successione di norme integratrici</w:t>
      </w:r>
      <w:r w:rsidRPr="00BC2EFE">
        <w:rPr>
          <w:rFonts w:ascii="Times New Roman" w:hAnsi="Times New Roman" w:cs="Times New Roman"/>
        </w:rPr>
        <w:t xml:space="preserve">, cit., p. 245 s. V. inoltre </w:t>
      </w:r>
      <w:r w:rsidRPr="00BC2EFE">
        <w:rPr>
          <w:rFonts w:ascii="Times New Roman" w:hAnsi="Times New Roman" w:cs="Times New Roman"/>
          <w:smallCaps/>
        </w:rPr>
        <w:t>Marinucci-Dolcini</w:t>
      </w:r>
      <w:r w:rsidRPr="00BC2EFE">
        <w:rPr>
          <w:rFonts w:ascii="Times New Roman" w:hAnsi="Times New Roman" w:cs="Times New Roman"/>
        </w:rPr>
        <w:t xml:space="preserve">, </w:t>
      </w:r>
      <w:r w:rsidRPr="00BC2EFE">
        <w:rPr>
          <w:rFonts w:ascii="Times New Roman" w:hAnsi="Times New Roman" w:cs="Times New Roman"/>
          <w:i/>
          <w:iCs/>
        </w:rPr>
        <w:t>Corso</w:t>
      </w:r>
      <w:r w:rsidRPr="00BC2EFE">
        <w:rPr>
          <w:rFonts w:ascii="Times New Roman" w:hAnsi="Times New Roman" w:cs="Times New Roman"/>
        </w:rPr>
        <w:t xml:space="preserve">, cit., p. 273; </w:t>
      </w:r>
      <w:r w:rsidRPr="00BC2EFE">
        <w:rPr>
          <w:rFonts w:ascii="Times New Roman" w:hAnsi="Times New Roman" w:cs="Times New Roman"/>
          <w:smallCaps/>
        </w:rPr>
        <w:t>Id</w:t>
      </w:r>
      <w:r w:rsidRPr="00BC2EFE">
        <w:rPr>
          <w:rFonts w:ascii="Times New Roman" w:hAnsi="Times New Roman" w:cs="Times New Roman"/>
        </w:rPr>
        <w:t xml:space="preserve">., </w:t>
      </w:r>
      <w:r w:rsidRPr="00BC2EFE">
        <w:rPr>
          <w:rFonts w:ascii="Times New Roman" w:hAnsi="Times New Roman" w:cs="Times New Roman"/>
          <w:i/>
          <w:iCs/>
        </w:rPr>
        <w:t>Manuale di diritto penale. Parte generale</w:t>
      </w:r>
      <w:r w:rsidRPr="00BC2EFE">
        <w:rPr>
          <w:rFonts w:ascii="Times New Roman" w:hAnsi="Times New Roman" w:cs="Times New Roman"/>
        </w:rPr>
        <w:t>, 3</w:t>
      </w:r>
      <w:r w:rsidRPr="00BC2EFE">
        <w:rPr>
          <w:rFonts w:ascii="Times New Roman" w:hAnsi="Times New Roman" w:cs="Times New Roman"/>
          <w:vertAlign w:val="superscript"/>
        </w:rPr>
        <w:t xml:space="preserve">a </w:t>
      </w:r>
      <w:r w:rsidRPr="00BC2EFE">
        <w:rPr>
          <w:rFonts w:ascii="Times New Roman" w:hAnsi="Times New Roman" w:cs="Times New Roman"/>
        </w:rPr>
        <w:t xml:space="preserve">ed., Milano, 2009, p. 90 s.; </w:t>
      </w:r>
      <w:r w:rsidRPr="00BC2EFE">
        <w:rPr>
          <w:rFonts w:ascii="Times New Roman" w:hAnsi="Times New Roman" w:cs="Times New Roman"/>
          <w:smallCaps/>
        </w:rPr>
        <w:t>C. Pecorella</w:t>
      </w:r>
      <w:r w:rsidRPr="00BC2EFE">
        <w:rPr>
          <w:rFonts w:ascii="Times New Roman" w:hAnsi="Times New Roman" w:cs="Times New Roman"/>
        </w:rPr>
        <w:t xml:space="preserve">, </w:t>
      </w:r>
      <w:r w:rsidRPr="00BC2EFE">
        <w:rPr>
          <w:rFonts w:ascii="Times New Roman" w:hAnsi="Times New Roman" w:cs="Times New Roman"/>
          <w:i/>
          <w:iCs/>
        </w:rPr>
        <w:t>sub</w:t>
      </w:r>
      <w:r w:rsidRPr="00BC2EFE">
        <w:rPr>
          <w:rFonts w:ascii="Times New Roman" w:hAnsi="Times New Roman" w:cs="Times New Roman"/>
        </w:rPr>
        <w:t xml:space="preserve"> art. 2, in </w:t>
      </w:r>
      <w:r w:rsidRPr="00BC2EFE">
        <w:rPr>
          <w:rFonts w:ascii="Times New Roman" w:hAnsi="Times New Roman" w:cs="Times New Roman"/>
          <w:smallCaps/>
        </w:rPr>
        <w:t>Dolcini-Marinucci</w:t>
      </w:r>
      <w:r w:rsidRPr="00BC2EFE">
        <w:rPr>
          <w:rFonts w:ascii="Times New Roman" w:hAnsi="Times New Roman" w:cs="Times New Roman"/>
        </w:rPr>
        <w:t xml:space="preserve"> (a cura di), </w:t>
      </w:r>
      <w:r w:rsidRPr="00BC2EFE">
        <w:rPr>
          <w:rFonts w:ascii="Times New Roman" w:hAnsi="Times New Roman" w:cs="Times New Roman"/>
          <w:i/>
          <w:iCs/>
        </w:rPr>
        <w:t>Codice penale commentato</w:t>
      </w:r>
      <w:r w:rsidRPr="00BC2EFE">
        <w:rPr>
          <w:rFonts w:ascii="Times New Roman" w:hAnsi="Times New Roman" w:cs="Times New Roman"/>
        </w:rPr>
        <w:t>, 2</w:t>
      </w:r>
      <w:r w:rsidRPr="00BC2EFE">
        <w:rPr>
          <w:rFonts w:ascii="Times New Roman" w:hAnsi="Times New Roman" w:cs="Times New Roman"/>
          <w:vertAlign w:val="superscript"/>
        </w:rPr>
        <w:t>a</w:t>
      </w:r>
      <w:r w:rsidRPr="00BC2EFE">
        <w:rPr>
          <w:rFonts w:ascii="Times New Roman" w:hAnsi="Times New Roman" w:cs="Times New Roman"/>
        </w:rPr>
        <w:t xml:space="preserve"> ed., Milano, 2006, p. 61 s.; </w:t>
      </w:r>
      <w:r w:rsidRPr="00BC2EFE">
        <w:rPr>
          <w:rFonts w:ascii="Times New Roman" w:hAnsi="Times New Roman" w:cs="Times New Roman"/>
          <w:smallCaps/>
        </w:rPr>
        <w:t>M. Romano</w:t>
      </w:r>
      <w:r w:rsidRPr="00BC2EFE">
        <w:rPr>
          <w:rFonts w:ascii="Times New Roman" w:hAnsi="Times New Roman" w:cs="Times New Roman"/>
        </w:rPr>
        <w:t xml:space="preserve">, </w:t>
      </w:r>
      <w:r w:rsidRPr="00BC2EFE">
        <w:rPr>
          <w:rFonts w:ascii="Times New Roman" w:hAnsi="Times New Roman" w:cs="Times New Roman"/>
          <w:i/>
          <w:iCs/>
        </w:rPr>
        <w:t>sub</w:t>
      </w:r>
      <w:r w:rsidRPr="00BC2EFE">
        <w:rPr>
          <w:rFonts w:ascii="Times New Roman" w:hAnsi="Times New Roman" w:cs="Times New Roman"/>
        </w:rPr>
        <w:t xml:space="preserve"> art. 2, in </w:t>
      </w:r>
      <w:r w:rsidRPr="00BC2EFE">
        <w:rPr>
          <w:rFonts w:ascii="Times New Roman" w:hAnsi="Times New Roman" w:cs="Times New Roman"/>
          <w:i/>
          <w:iCs/>
        </w:rPr>
        <w:t>Commentario sistematico del codice penale</w:t>
      </w:r>
      <w:r w:rsidRPr="00BC2EFE">
        <w:rPr>
          <w:rFonts w:ascii="Times New Roman" w:hAnsi="Times New Roman" w:cs="Times New Roman"/>
        </w:rPr>
        <w:t>, I, 3</w:t>
      </w:r>
      <w:r w:rsidRPr="00BC2EFE">
        <w:rPr>
          <w:rFonts w:ascii="Times New Roman" w:hAnsi="Times New Roman" w:cs="Times New Roman"/>
          <w:vertAlign w:val="superscript"/>
        </w:rPr>
        <w:t>a</w:t>
      </w:r>
      <w:r w:rsidRPr="00BC2EFE">
        <w:rPr>
          <w:rFonts w:ascii="Times New Roman" w:hAnsi="Times New Roman" w:cs="Times New Roman"/>
        </w:rPr>
        <w:t xml:space="preserve"> ed., Milano, Giuffrè, 2004, p. 57 s. In giurisprudenza v. ad es. Cass. Sez. II, 2 dicembre 2003, Stellaccio, cit. (v. </w:t>
      </w:r>
      <w:r w:rsidRPr="00BC2EFE">
        <w:rPr>
          <w:rFonts w:ascii="Times New Roman" w:hAnsi="Times New Roman" w:cs="Times New Roman"/>
          <w:i/>
          <w:iCs/>
        </w:rPr>
        <w:t>supra</w:t>
      </w:r>
      <w:r w:rsidRPr="00BC2EFE">
        <w:rPr>
          <w:rFonts w:ascii="Times New Roman" w:hAnsi="Times New Roman" w:cs="Times New Roman"/>
        </w:rPr>
        <w:t>, nota n. 10).</w:t>
      </w:r>
    </w:p>
  </w:footnote>
  <w:footnote w:id="39">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A nostro avviso è quanto </w:t>
      </w:r>
      <w:r>
        <w:rPr>
          <w:rFonts w:ascii="Times New Roman" w:hAnsi="Times New Roman" w:cs="Times New Roman"/>
        </w:rPr>
        <w:t xml:space="preserve">si </w:t>
      </w:r>
      <w:r w:rsidRPr="00BC2EFE">
        <w:rPr>
          <w:rFonts w:ascii="Times New Roman" w:hAnsi="Times New Roman" w:cs="Times New Roman"/>
        </w:rPr>
        <w:t>deve affermar</w:t>
      </w:r>
      <w:r>
        <w:rPr>
          <w:rFonts w:ascii="Times New Roman" w:hAnsi="Times New Roman" w:cs="Times New Roman"/>
        </w:rPr>
        <w:t>e</w:t>
      </w:r>
      <w:r w:rsidRPr="00BC2EFE">
        <w:rPr>
          <w:rFonts w:ascii="Times New Roman" w:hAnsi="Times New Roman" w:cs="Times New Roman"/>
        </w:rPr>
        <w:t xml:space="preserve"> per ragioni di coerenza intrasistematica. Sia consentito rinviare a </w:t>
      </w:r>
      <w:r w:rsidRPr="00BC2EFE">
        <w:rPr>
          <w:rFonts w:ascii="Times New Roman" w:hAnsi="Times New Roman" w:cs="Times New Roman"/>
          <w:smallCaps/>
        </w:rPr>
        <w:t>Gatta</w:t>
      </w:r>
      <w:r w:rsidRPr="00BC2EFE">
        <w:rPr>
          <w:rFonts w:ascii="Times New Roman" w:hAnsi="Times New Roman" w:cs="Times New Roman"/>
        </w:rPr>
        <w:t xml:space="preserve">, Abolitio criminis </w:t>
      </w:r>
      <w:r w:rsidRPr="00BC2EFE">
        <w:rPr>
          <w:rFonts w:ascii="Times New Roman" w:hAnsi="Times New Roman" w:cs="Times New Roman"/>
          <w:i/>
          <w:iCs/>
        </w:rPr>
        <w:t>e successione di norme integratrici</w:t>
      </w:r>
      <w:r w:rsidRPr="00BC2EFE">
        <w:rPr>
          <w:rFonts w:ascii="Times New Roman" w:hAnsi="Times New Roman" w:cs="Times New Roman"/>
        </w:rPr>
        <w:t xml:space="preserve">, cit., p. 305 s. V. anche </w:t>
      </w:r>
      <w:r w:rsidRPr="00BC2EFE">
        <w:rPr>
          <w:rFonts w:ascii="Times New Roman" w:hAnsi="Times New Roman" w:cs="Times New Roman"/>
          <w:smallCaps/>
        </w:rPr>
        <w:t>Pulitanò</w:t>
      </w:r>
      <w:r w:rsidRPr="00BC2EFE">
        <w:rPr>
          <w:rFonts w:ascii="Times New Roman" w:hAnsi="Times New Roman" w:cs="Times New Roman"/>
        </w:rPr>
        <w:t xml:space="preserve">, </w:t>
      </w:r>
      <w:r w:rsidRPr="00BC2EFE">
        <w:rPr>
          <w:rFonts w:ascii="Times New Roman" w:hAnsi="Times New Roman" w:cs="Times New Roman"/>
          <w:i/>
          <w:iCs/>
        </w:rPr>
        <w:t>L’errore di diritto nella teoria del reato</w:t>
      </w:r>
      <w:r w:rsidRPr="00BC2EFE">
        <w:rPr>
          <w:rFonts w:ascii="Times New Roman" w:hAnsi="Times New Roman" w:cs="Times New Roman"/>
        </w:rPr>
        <w:t xml:space="preserve">, Milano, Giuffrè, 1976, p. 314 s. Ritiene </w:t>
      </w:r>
      <w:r>
        <w:rPr>
          <w:rFonts w:ascii="Times New Roman" w:hAnsi="Times New Roman" w:cs="Times New Roman"/>
        </w:rPr>
        <w:t xml:space="preserve">invece che </w:t>
      </w:r>
      <w:r w:rsidRPr="00BC2EFE">
        <w:rPr>
          <w:rFonts w:ascii="Times New Roman" w:hAnsi="Times New Roman" w:cs="Times New Roman"/>
        </w:rPr>
        <w:t xml:space="preserve">la distinzione tra norme integratrici e non integratrici </w:t>
      </w:r>
      <w:r>
        <w:rPr>
          <w:rFonts w:ascii="Times New Roman" w:hAnsi="Times New Roman" w:cs="Times New Roman"/>
        </w:rPr>
        <w:t xml:space="preserve">sia decisiva </w:t>
      </w:r>
      <w:r w:rsidRPr="00BC2EFE">
        <w:rPr>
          <w:rFonts w:ascii="Times New Roman" w:hAnsi="Times New Roman" w:cs="Times New Roman"/>
        </w:rPr>
        <w:t xml:space="preserve">per distinguere l’errore su legge penale dall’errore su legge extrapenale, ma non anche per individuare i casi in cui la modifica di una norma extrapenale può comportare </w:t>
      </w:r>
      <w:r w:rsidRPr="00BC2EFE">
        <w:rPr>
          <w:rFonts w:ascii="Times New Roman" w:hAnsi="Times New Roman" w:cs="Times New Roman"/>
          <w:i/>
          <w:iCs/>
        </w:rPr>
        <w:t>abolitio criminis</w:t>
      </w:r>
      <w:r w:rsidRPr="00BC2EFE">
        <w:rPr>
          <w:rFonts w:ascii="Times New Roman" w:hAnsi="Times New Roman" w:cs="Times New Roman"/>
        </w:rPr>
        <w:t xml:space="preserve">, </w:t>
      </w:r>
      <w:r w:rsidRPr="00BC2EFE">
        <w:rPr>
          <w:rFonts w:ascii="Times New Roman" w:hAnsi="Times New Roman" w:cs="Times New Roman"/>
          <w:smallCaps/>
        </w:rPr>
        <w:t>Risicato</w:t>
      </w:r>
      <w:r w:rsidRPr="00BC2EFE">
        <w:rPr>
          <w:rFonts w:ascii="Times New Roman" w:hAnsi="Times New Roman" w:cs="Times New Roman"/>
        </w:rPr>
        <w:t xml:space="preserve">, </w:t>
      </w:r>
      <w:r w:rsidRPr="00BC2EFE">
        <w:rPr>
          <w:rFonts w:ascii="Times New Roman" w:hAnsi="Times New Roman" w:cs="Times New Roman"/>
          <w:i/>
          <w:iCs/>
        </w:rPr>
        <w:t>Gli elementi normativi della fattispecie penale</w:t>
      </w:r>
      <w:r w:rsidRPr="00BC2EFE">
        <w:rPr>
          <w:rFonts w:ascii="Times New Roman" w:hAnsi="Times New Roman" w:cs="Times New Roman"/>
        </w:rPr>
        <w:t>, cit., p. 243.</w:t>
      </w:r>
    </w:p>
  </w:footnote>
  <w:footnote w:id="40">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Cass. S.U., 27 settembre 2007, Magera, cit., punto n. 4 della motivazione. Per la medesima conclusione sia consentito rinviare a </w:t>
      </w:r>
      <w:r w:rsidRPr="00BC2EFE">
        <w:rPr>
          <w:rFonts w:ascii="Times New Roman" w:hAnsi="Times New Roman" w:cs="Times New Roman"/>
          <w:smallCaps/>
        </w:rPr>
        <w:t>Gatta</w:t>
      </w:r>
      <w:r w:rsidRPr="00BC2EFE">
        <w:rPr>
          <w:rFonts w:ascii="Times New Roman" w:hAnsi="Times New Roman" w:cs="Times New Roman"/>
        </w:rPr>
        <w:t xml:space="preserve">, Abolitio criminis </w:t>
      </w:r>
      <w:r w:rsidRPr="00BC2EFE">
        <w:rPr>
          <w:rFonts w:ascii="Times New Roman" w:hAnsi="Times New Roman" w:cs="Times New Roman"/>
          <w:i/>
          <w:iCs/>
        </w:rPr>
        <w:t>e successione di norme “integratrici”</w:t>
      </w:r>
      <w:r w:rsidRPr="00BC2EFE">
        <w:rPr>
          <w:rFonts w:ascii="Times New Roman" w:hAnsi="Times New Roman" w:cs="Times New Roman"/>
        </w:rPr>
        <w:t>, cit., p. 831 s.</w:t>
      </w:r>
    </w:p>
  </w:footnote>
  <w:footnote w:id="41">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w:t>
      </w:r>
      <w:r w:rsidRPr="00BC2EFE">
        <w:rPr>
          <w:rFonts w:ascii="Times New Roman" w:hAnsi="Times New Roman" w:cs="Times New Roman"/>
          <w:i/>
          <w:iCs/>
        </w:rPr>
        <w:t>Ibidem</w:t>
      </w:r>
      <w:r w:rsidRPr="00BC2EFE">
        <w:rPr>
          <w:rFonts w:ascii="Times New Roman" w:hAnsi="Times New Roman" w:cs="Times New Roman"/>
        </w:rPr>
        <w:t xml:space="preserve"> (v. </w:t>
      </w:r>
      <w:r>
        <w:rPr>
          <w:rFonts w:ascii="Times New Roman" w:hAnsi="Times New Roman" w:cs="Times New Roman"/>
        </w:rPr>
        <w:t>inoltre</w:t>
      </w:r>
      <w:r w:rsidRPr="00BC2EFE">
        <w:rPr>
          <w:rFonts w:ascii="Times New Roman" w:hAnsi="Times New Roman" w:cs="Times New Roman"/>
        </w:rPr>
        <w:t xml:space="preserve"> la parte finale del punto n. 5 della motivazione). Nello stesso senso, in dottrina, </w:t>
      </w:r>
      <w:r w:rsidRPr="00BC2EFE">
        <w:rPr>
          <w:rFonts w:ascii="Times New Roman" w:hAnsi="Times New Roman" w:cs="Times New Roman"/>
          <w:smallCaps/>
        </w:rPr>
        <w:t>Corbetta</w:t>
      </w:r>
      <w:r w:rsidRPr="00BC2EFE">
        <w:rPr>
          <w:rFonts w:ascii="Times New Roman" w:hAnsi="Times New Roman" w:cs="Times New Roman"/>
        </w:rPr>
        <w:t xml:space="preserve">, </w:t>
      </w:r>
      <w:r w:rsidRPr="00BC2EFE">
        <w:rPr>
          <w:rFonts w:ascii="Times New Roman" w:hAnsi="Times New Roman" w:cs="Times New Roman"/>
          <w:i/>
          <w:iCs/>
        </w:rPr>
        <w:t>Adesione di Romania e Bulgaria all’UE: quale l’impatto sulle norme incriminatrici della ‘Bossi-Fini’?</w:t>
      </w:r>
      <w:r w:rsidRPr="00BC2EFE">
        <w:rPr>
          <w:rFonts w:ascii="Times New Roman" w:hAnsi="Times New Roman" w:cs="Times New Roman"/>
        </w:rPr>
        <w:t xml:space="preserve">, in </w:t>
      </w:r>
      <w:r w:rsidRPr="00BC2EFE">
        <w:rPr>
          <w:rFonts w:ascii="Times New Roman" w:hAnsi="Times New Roman" w:cs="Times New Roman"/>
          <w:i/>
          <w:iCs/>
        </w:rPr>
        <w:t>Corr. merito</w:t>
      </w:r>
      <w:r w:rsidRPr="00BC2EFE">
        <w:rPr>
          <w:rFonts w:ascii="Times New Roman" w:hAnsi="Times New Roman" w:cs="Times New Roman"/>
        </w:rPr>
        <w:t xml:space="preserve">, 2007, p. 333; </w:t>
      </w:r>
      <w:r w:rsidRPr="00BC2EFE">
        <w:rPr>
          <w:rFonts w:ascii="Times New Roman" w:hAnsi="Times New Roman" w:cs="Times New Roman"/>
          <w:smallCaps/>
        </w:rPr>
        <w:t>Gatta</w:t>
      </w:r>
      <w:r w:rsidRPr="00BC2EFE">
        <w:rPr>
          <w:rFonts w:ascii="Times New Roman" w:hAnsi="Times New Roman" w:cs="Times New Roman"/>
        </w:rPr>
        <w:t xml:space="preserve">, Abolitio criminis </w:t>
      </w:r>
      <w:r w:rsidRPr="00BC2EFE">
        <w:rPr>
          <w:rFonts w:ascii="Times New Roman" w:hAnsi="Times New Roman" w:cs="Times New Roman"/>
          <w:i/>
          <w:iCs/>
        </w:rPr>
        <w:t>e successione di norme “integratrici”</w:t>
      </w:r>
      <w:r w:rsidRPr="00BC2EFE">
        <w:rPr>
          <w:rFonts w:ascii="Times New Roman" w:hAnsi="Times New Roman" w:cs="Times New Roman"/>
        </w:rPr>
        <w:t>, cit., p. 832 s.</w:t>
      </w:r>
    </w:p>
  </w:footnote>
  <w:footnote w:id="42">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Cass. S.U., 28 febbraio 2008, Niccoli, cit., punto n. 6.8. della motivazione (corsivo nostro).</w:t>
      </w:r>
    </w:p>
  </w:footnote>
  <w:footnote w:id="43">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w:t>
      </w:r>
      <w:r w:rsidRPr="00BC2EFE">
        <w:rPr>
          <w:rFonts w:ascii="Times New Roman" w:hAnsi="Times New Roman" w:cs="Times New Roman"/>
          <w:i/>
          <w:iCs/>
        </w:rPr>
        <w:t>Ibidem</w:t>
      </w:r>
      <w:r w:rsidRPr="00BC2EFE">
        <w:rPr>
          <w:rFonts w:ascii="Times New Roman" w:hAnsi="Times New Roman" w:cs="Times New Roman"/>
        </w:rPr>
        <w:t>, punto n. 6.5 della motivazione.</w:t>
      </w:r>
    </w:p>
  </w:footnote>
  <w:footnote w:id="44">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Sia consentito il rinvio a </w:t>
      </w:r>
      <w:r w:rsidRPr="00BC2EFE">
        <w:rPr>
          <w:rFonts w:ascii="Times New Roman" w:hAnsi="Times New Roman" w:cs="Times New Roman"/>
          <w:smallCaps/>
        </w:rPr>
        <w:t>Gatta</w:t>
      </w:r>
      <w:r w:rsidRPr="00BC2EFE">
        <w:rPr>
          <w:rFonts w:ascii="Times New Roman" w:hAnsi="Times New Roman" w:cs="Times New Roman"/>
        </w:rPr>
        <w:t xml:space="preserve">, Abolitio criminis </w:t>
      </w:r>
      <w:r w:rsidRPr="00BC2EFE">
        <w:rPr>
          <w:rFonts w:ascii="Times New Roman" w:hAnsi="Times New Roman" w:cs="Times New Roman"/>
          <w:i/>
          <w:iCs/>
        </w:rPr>
        <w:t>e successione di norme “integratrici”</w:t>
      </w:r>
      <w:r w:rsidRPr="00BC2EFE">
        <w:rPr>
          <w:rFonts w:ascii="Times New Roman" w:hAnsi="Times New Roman" w:cs="Times New Roman"/>
        </w:rPr>
        <w:t>, cit., p. 920 s.</w:t>
      </w:r>
    </w:p>
  </w:footnote>
  <w:footnote w:id="45">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Cass. S.U., 28 febbraio 2008, Niccoli, cit., punto n. 6.9. della motivazione</w:t>
      </w:r>
    </w:p>
  </w:footnote>
  <w:footnote w:id="46">
    <w:p w:rsidR="00357AB3" w:rsidRDefault="00357AB3" w:rsidP="00465260">
      <w:pPr>
        <w:pStyle w:val="FootnoteText"/>
        <w:jc w:val="both"/>
      </w:pPr>
      <w:r w:rsidRPr="0045418B">
        <w:rPr>
          <w:rStyle w:val="FootnoteReference"/>
          <w:rFonts w:ascii="Times New Roman" w:hAnsi="Times New Roman" w:cs="Times New Roman"/>
        </w:rPr>
        <w:footnoteRef/>
      </w:r>
      <w:r w:rsidRPr="0045418B">
        <w:rPr>
          <w:rStyle w:val="FootnoteReference"/>
          <w:rFonts w:ascii="Times New Roman" w:hAnsi="Times New Roman" w:cs="Times New Roman"/>
        </w:rPr>
        <w:t xml:space="preserve"> </w:t>
      </w:r>
      <w:r>
        <w:rPr>
          <w:rFonts w:ascii="Times New Roman" w:hAnsi="Times New Roman" w:cs="Times New Roman"/>
        </w:rPr>
        <w:t>In altra sede (</w:t>
      </w:r>
      <w:r w:rsidRPr="00465260">
        <w:rPr>
          <w:rFonts w:ascii="Times New Roman" w:hAnsi="Times New Roman" w:cs="Times New Roman"/>
          <w:smallCaps/>
        </w:rPr>
        <w:t>Gatta</w:t>
      </w:r>
      <w:r>
        <w:rPr>
          <w:rFonts w:ascii="Times New Roman" w:hAnsi="Times New Roman" w:cs="Times New Roman"/>
        </w:rPr>
        <w:t xml:space="preserve">, </w:t>
      </w:r>
      <w:r w:rsidRPr="00465260">
        <w:rPr>
          <w:rFonts w:ascii="Times New Roman" w:hAnsi="Times New Roman" w:cs="Times New Roman"/>
        </w:rPr>
        <w:t>Abolitio criminis</w:t>
      </w:r>
      <w:r w:rsidRPr="00465260">
        <w:rPr>
          <w:rFonts w:ascii="Times New Roman" w:hAnsi="Times New Roman" w:cs="Times New Roman"/>
          <w:i/>
          <w:iCs/>
        </w:rPr>
        <w:t xml:space="preserve"> e successione di norme “integratrici”</w:t>
      </w:r>
      <w:r>
        <w:rPr>
          <w:rFonts w:ascii="Times New Roman" w:hAnsi="Times New Roman" w:cs="Times New Roman"/>
        </w:rPr>
        <w:t xml:space="preserve">, cit., p. 923) abbiamo avuto occasione di osservare in senso contrario come, a nostro parere, l’art. 150 d.lgs. n. 5/2006 non costituisca una disposizione che riguarda la successione di leggi penali: il principio della retroattività della </w:t>
      </w:r>
      <w:r w:rsidRPr="00465260">
        <w:rPr>
          <w:rFonts w:ascii="Times New Roman" w:hAnsi="Times New Roman" w:cs="Times New Roman"/>
          <w:i/>
          <w:iCs/>
        </w:rPr>
        <w:t xml:space="preserve">lex mitior </w:t>
      </w:r>
      <w:r>
        <w:rPr>
          <w:rFonts w:ascii="Times New Roman" w:hAnsi="Times New Roman" w:cs="Times New Roman"/>
        </w:rPr>
        <w:t xml:space="preserve">può subire deroghe, purché ragionevoli, a condizione però – questo è il punto – che il legislatore vi provveda </w:t>
      </w:r>
      <w:r w:rsidRPr="00465260">
        <w:rPr>
          <w:rFonts w:ascii="Times New Roman" w:hAnsi="Times New Roman" w:cs="Times New Roman"/>
          <w:i/>
          <w:iCs/>
        </w:rPr>
        <w:t>in modo espresso e univoco</w:t>
      </w:r>
      <w:r>
        <w:rPr>
          <w:rFonts w:ascii="Times New Roman" w:hAnsi="Times New Roman" w:cs="Times New Roman"/>
        </w:rPr>
        <w:t>. Non ci sembra questo il caso (in tal senso v. Cass. Sez. V, 18 ottobre 2007, Rizzo, cit.).</w:t>
      </w:r>
    </w:p>
  </w:footnote>
  <w:footnote w:id="47">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Cass. Sez. I, ord. 25 novembre 2008, n. 3578 (n° di deposito: 150/2009), inedita.</w:t>
      </w:r>
    </w:p>
  </w:footnote>
  <w:footnote w:id="48">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Per questa impostazione ci permettiamo di rinviare a </w:t>
      </w:r>
      <w:r w:rsidRPr="00BC2EFE">
        <w:rPr>
          <w:rFonts w:ascii="Times New Roman" w:hAnsi="Times New Roman" w:cs="Times New Roman"/>
          <w:smallCaps/>
        </w:rPr>
        <w:t>Gatta</w:t>
      </w:r>
      <w:r w:rsidRPr="00BC2EFE">
        <w:rPr>
          <w:rFonts w:ascii="Times New Roman" w:hAnsi="Times New Roman" w:cs="Times New Roman"/>
        </w:rPr>
        <w:t xml:space="preserve">, Abolitio criminis </w:t>
      </w:r>
      <w:r w:rsidRPr="00BC2EFE">
        <w:rPr>
          <w:rFonts w:ascii="Times New Roman" w:hAnsi="Times New Roman" w:cs="Times New Roman"/>
          <w:i/>
          <w:iCs/>
        </w:rPr>
        <w:t>e successione di norme “integratrici”</w:t>
      </w:r>
      <w:r w:rsidRPr="00BC2EFE">
        <w:rPr>
          <w:rFonts w:ascii="Times New Roman" w:hAnsi="Times New Roman" w:cs="Times New Roman"/>
        </w:rPr>
        <w:t xml:space="preserve">, cit., p. 26 s. e 277. V. anche </w:t>
      </w:r>
      <w:r w:rsidRPr="00BC2EFE">
        <w:rPr>
          <w:rFonts w:ascii="Times New Roman" w:hAnsi="Times New Roman" w:cs="Times New Roman"/>
          <w:smallCaps/>
        </w:rPr>
        <w:t>Marinucci-Dolcini</w:t>
      </w:r>
      <w:r w:rsidRPr="00BC2EFE">
        <w:rPr>
          <w:rFonts w:ascii="Times New Roman" w:hAnsi="Times New Roman" w:cs="Times New Roman"/>
        </w:rPr>
        <w:t xml:space="preserve">, </w:t>
      </w:r>
      <w:r w:rsidRPr="00BC2EFE">
        <w:rPr>
          <w:rFonts w:ascii="Times New Roman" w:hAnsi="Times New Roman" w:cs="Times New Roman"/>
          <w:i/>
          <w:iCs/>
        </w:rPr>
        <w:t>Corso</w:t>
      </w:r>
      <w:r w:rsidRPr="00BC2EFE">
        <w:rPr>
          <w:rFonts w:ascii="Times New Roman" w:hAnsi="Times New Roman" w:cs="Times New Roman"/>
        </w:rPr>
        <w:t>, cit., p. 275.</w:t>
      </w:r>
    </w:p>
  </w:footnote>
  <w:footnote w:id="49">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Cass. S.U., 27 settembre 2007, Magera, cit., punto n. 6 della motivazione (corsivo nostro).</w:t>
      </w:r>
    </w:p>
  </w:footnote>
  <w:footnote w:id="50">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Cass. Sez. I, 9 marzo 2005, Screti, cit. (v. </w:t>
      </w:r>
      <w:r w:rsidRPr="00BC2EFE">
        <w:rPr>
          <w:rFonts w:ascii="Times New Roman" w:hAnsi="Times New Roman" w:cs="Times New Roman"/>
          <w:i/>
          <w:iCs/>
        </w:rPr>
        <w:t>supra</w:t>
      </w:r>
      <w:r w:rsidRPr="00BC2EFE">
        <w:rPr>
          <w:rFonts w:ascii="Times New Roman" w:hAnsi="Times New Roman" w:cs="Times New Roman"/>
        </w:rPr>
        <w:t>, nota n. 5).</w:t>
      </w:r>
    </w:p>
  </w:footnote>
  <w:footnote w:id="51">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Cfr. ad es. F. </w:t>
      </w:r>
      <w:r w:rsidRPr="00BC2EFE">
        <w:rPr>
          <w:rFonts w:ascii="Times New Roman" w:hAnsi="Times New Roman" w:cs="Times New Roman"/>
          <w:smallCaps/>
        </w:rPr>
        <w:t>Mantovani</w:t>
      </w:r>
      <w:r w:rsidRPr="00BC2EFE">
        <w:rPr>
          <w:rFonts w:ascii="Times New Roman" w:hAnsi="Times New Roman" w:cs="Times New Roman"/>
        </w:rPr>
        <w:t xml:space="preserve">, </w:t>
      </w:r>
      <w:r w:rsidRPr="00BC2EFE">
        <w:rPr>
          <w:rFonts w:ascii="Times New Roman" w:hAnsi="Times New Roman" w:cs="Times New Roman"/>
          <w:i/>
          <w:iCs/>
        </w:rPr>
        <w:t>Diritto penale</w:t>
      </w:r>
      <w:r w:rsidRPr="00BC2EFE">
        <w:rPr>
          <w:rFonts w:ascii="Times New Roman" w:hAnsi="Times New Roman" w:cs="Times New Roman"/>
        </w:rPr>
        <w:t>, 6</w:t>
      </w:r>
      <w:r w:rsidRPr="00BC2EFE">
        <w:rPr>
          <w:rFonts w:ascii="Times New Roman" w:hAnsi="Times New Roman" w:cs="Times New Roman"/>
          <w:vertAlign w:val="superscript"/>
        </w:rPr>
        <w:t>a</w:t>
      </w:r>
      <w:r w:rsidRPr="00BC2EFE">
        <w:rPr>
          <w:rFonts w:ascii="Times New Roman" w:hAnsi="Times New Roman" w:cs="Times New Roman"/>
        </w:rPr>
        <w:t xml:space="preserve"> ed., Padova, Cedam, 2009, p. 85; </w:t>
      </w:r>
      <w:r w:rsidRPr="00BC2EFE">
        <w:rPr>
          <w:rFonts w:ascii="Times New Roman" w:hAnsi="Times New Roman" w:cs="Times New Roman"/>
          <w:smallCaps/>
        </w:rPr>
        <w:t>Pulitanò</w:t>
      </w:r>
      <w:r w:rsidRPr="00BC2EFE">
        <w:rPr>
          <w:rFonts w:ascii="Times New Roman" w:hAnsi="Times New Roman" w:cs="Times New Roman"/>
        </w:rPr>
        <w:t xml:space="preserve">, </w:t>
      </w:r>
      <w:r w:rsidRPr="00BC2EFE">
        <w:rPr>
          <w:rFonts w:ascii="Times New Roman" w:hAnsi="Times New Roman" w:cs="Times New Roman"/>
          <w:i/>
          <w:iCs/>
        </w:rPr>
        <w:t>Diritto penale</w:t>
      </w:r>
      <w:r w:rsidRPr="00BC2EFE">
        <w:rPr>
          <w:rFonts w:ascii="Times New Roman" w:hAnsi="Times New Roman" w:cs="Times New Roman"/>
        </w:rPr>
        <w:t>, 2</w:t>
      </w:r>
      <w:r w:rsidRPr="00BC2EFE">
        <w:rPr>
          <w:rFonts w:ascii="Times New Roman" w:hAnsi="Times New Roman" w:cs="Times New Roman"/>
          <w:vertAlign w:val="superscript"/>
        </w:rPr>
        <w:t>a</w:t>
      </w:r>
      <w:r w:rsidRPr="00BC2EFE">
        <w:rPr>
          <w:rFonts w:ascii="Times New Roman" w:hAnsi="Times New Roman" w:cs="Times New Roman"/>
        </w:rPr>
        <w:t xml:space="preserve"> ed., Torino, Giappichelli, 2007, p. 687.</w:t>
      </w:r>
    </w:p>
  </w:footnote>
  <w:footnote w:id="52">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Sia consentito rinviare a  </w:t>
      </w:r>
      <w:r w:rsidRPr="00BC2EFE">
        <w:rPr>
          <w:rFonts w:ascii="Times New Roman" w:hAnsi="Times New Roman" w:cs="Times New Roman"/>
          <w:smallCaps/>
        </w:rPr>
        <w:t>Gatta</w:t>
      </w:r>
      <w:r w:rsidRPr="00BC2EFE">
        <w:rPr>
          <w:rFonts w:ascii="Times New Roman" w:hAnsi="Times New Roman" w:cs="Times New Roman"/>
        </w:rPr>
        <w:t xml:space="preserve">, Abolitio criminis </w:t>
      </w:r>
      <w:r w:rsidRPr="00BC2EFE">
        <w:rPr>
          <w:rFonts w:ascii="Times New Roman" w:hAnsi="Times New Roman" w:cs="Times New Roman"/>
          <w:i/>
          <w:iCs/>
        </w:rPr>
        <w:t>e successione di norme “integratrici”</w:t>
      </w:r>
      <w:r w:rsidRPr="00BC2EFE">
        <w:rPr>
          <w:rFonts w:ascii="Times New Roman" w:hAnsi="Times New Roman" w:cs="Times New Roman"/>
        </w:rPr>
        <w:t xml:space="preserve">, cit., p. 425 s. e 475 s. Nello stesso senso v. </w:t>
      </w:r>
      <w:r w:rsidRPr="00BC2EFE">
        <w:rPr>
          <w:rFonts w:ascii="Times New Roman" w:hAnsi="Times New Roman" w:cs="Times New Roman"/>
          <w:smallCaps/>
        </w:rPr>
        <w:t>Marinucci-Dolcini</w:t>
      </w:r>
      <w:r w:rsidRPr="00BC2EFE">
        <w:rPr>
          <w:rFonts w:ascii="Times New Roman" w:hAnsi="Times New Roman" w:cs="Times New Roman"/>
        </w:rPr>
        <w:t xml:space="preserve">, </w:t>
      </w:r>
      <w:r w:rsidRPr="00BC2EFE">
        <w:rPr>
          <w:rFonts w:ascii="Times New Roman" w:hAnsi="Times New Roman" w:cs="Times New Roman"/>
          <w:i/>
          <w:iCs/>
        </w:rPr>
        <w:t>Manuale</w:t>
      </w:r>
      <w:r w:rsidRPr="00BC2EFE">
        <w:rPr>
          <w:rFonts w:ascii="Times New Roman" w:hAnsi="Times New Roman" w:cs="Times New Roman"/>
        </w:rPr>
        <w:t>, cit., p.</w:t>
      </w:r>
      <w:r>
        <w:rPr>
          <w:rFonts w:ascii="Times New Roman" w:hAnsi="Times New Roman" w:cs="Times New Roman"/>
        </w:rPr>
        <w:t xml:space="preserve"> 91.</w:t>
      </w:r>
      <w:r w:rsidRPr="00BC2EFE">
        <w:rPr>
          <w:rFonts w:ascii="Times New Roman" w:hAnsi="Times New Roman" w:cs="Times New Roman"/>
        </w:rPr>
        <w:t xml:space="preserve"> </w:t>
      </w:r>
    </w:p>
  </w:footnote>
  <w:footnote w:id="53">
    <w:p w:rsidR="00357AB3" w:rsidRDefault="00357AB3" w:rsidP="00BC2EFE">
      <w:pPr>
        <w:pStyle w:val="FootnoteText"/>
        <w:jc w:val="both"/>
      </w:pPr>
      <w:r w:rsidRPr="00BC2EFE">
        <w:rPr>
          <w:rStyle w:val="FootnoteReference"/>
          <w:rFonts w:ascii="Times New Roman" w:hAnsi="Times New Roman" w:cs="Times New Roman"/>
        </w:rPr>
        <w:footnoteRef/>
      </w:r>
      <w:r w:rsidRPr="00BC2EFE">
        <w:rPr>
          <w:rFonts w:ascii="Times New Roman" w:hAnsi="Times New Roman" w:cs="Times New Roman"/>
        </w:rPr>
        <w:t xml:space="preserve"> E’ la tesi di fondo da noi sostenuta e sviluppata in un lavoro monografico più volte citato, al quale ci permettiamo ancora una volta di rinviare il paziente lettore: </w:t>
      </w:r>
      <w:r w:rsidRPr="00BC2EFE">
        <w:rPr>
          <w:rFonts w:ascii="Times New Roman" w:hAnsi="Times New Roman" w:cs="Times New Roman"/>
          <w:smallCaps/>
        </w:rPr>
        <w:t>Gatta</w:t>
      </w:r>
      <w:r w:rsidRPr="00BC2EFE">
        <w:rPr>
          <w:rFonts w:ascii="Times New Roman" w:hAnsi="Times New Roman" w:cs="Times New Roman"/>
        </w:rPr>
        <w:t xml:space="preserve">, Abolitio criminis </w:t>
      </w:r>
      <w:r w:rsidRPr="00BC2EFE">
        <w:rPr>
          <w:rFonts w:ascii="Times New Roman" w:hAnsi="Times New Roman" w:cs="Times New Roman"/>
          <w:i/>
          <w:iCs/>
        </w:rPr>
        <w:t>e successione di norme “integratrici”</w:t>
      </w:r>
      <w:r w:rsidRPr="00BC2EFE">
        <w:rPr>
          <w:rFonts w:ascii="Times New Roman" w:hAnsi="Times New Roman" w:cs="Times New Roman"/>
        </w:rPr>
        <w:t>, cit., p. 44 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965CE"/>
    <w:multiLevelType w:val="hybridMultilevel"/>
    <w:tmpl w:val="0728C8DA"/>
    <w:lvl w:ilvl="0" w:tplc="0410000F">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283"/>
  <w:doNotHyphenateCaps/>
  <w:characterSpacingControl w:val="doNotCompress"/>
  <w:doNotValidateAgainstSchema/>
  <w:doNotDemarcateInvalidXml/>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1DA4"/>
    <w:rsid w:val="00024A85"/>
    <w:rsid w:val="00026C9E"/>
    <w:rsid w:val="00040838"/>
    <w:rsid w:val="00060189"/>
    <w:rsid w:val="000679E2"/>
    <w:rsid w:val="000A0E79"/>
    <w:rsid w:val="000E60CE"/>
    <w:rsid w:val="000F4EE2"/>
    <w:rsid w:val="0010400C"/>
    <w:rsid w:val="00147DBF"/>
    <w:rsid w:val="00161887"/>
    <w:rsid w:val="00162763"/>
    <w:rsid w:val="00182C75"/>
    <w:rsid w:val="00194F95"/>
    <w:rsid w:val="0019593C"/>
    <w:rsid w:val="001A0E33"/>
    <w:rsid w:val="001A38A0"/>
    <w:rsid w:val="001A4476"/>
    <w:rsid w:val="001B5056"/>
    <w:rsid w:val="001B6981"/>
    <w:rsid w:val="00203A21"/>
    <w:rsid w:val="00223C0E"/>
    <w:rsid w:val="00233637"/>
    <w:rsid w:val="00237108"/>
    <w:rsid w:val="002710C2"/>
    <w:rsid w:val="0028479E"/>
    <w:rsid w:val="002B4555"/>
    <w:rsid w:val="002D69F7"/>
    <w:rsid w:val="002F1A73"/>
    <w:rsid w:val="003409BB"/>
    <w:rsid w:val="00357AB3"/>
    <w:rsid w:val="00373F69"/>
    <w:rsid w:val="003B1026"/>
    <w:rsid w:val="003B114D"/>
    <w:rsid w:val="003E5728"/>
    <w:rsid w:val="0044467F"/>
    <w:rsid w:val="0045418B"/>
    <w:rsid w:val="00465260"/>
    <w:rsid w:val="0047610E"/>
    <w:rsid w:val="00487871"/>
    <w:rsid w:val="004A3F90"/>
    <w:rsid w:val="004F2062"/>
    <w:rsid w:val="00511DA4"/>
    <w:rsid w:val="00543FB2"/>
    <w:rsid w:val="005443D3"/>
    <w:rsid w:val="0059321C"/>
    <w:rsid w:val="00593612"/>
    <w:rsid w:val="005C6ED4"/>
    <w:rsid w:val="00607A4D"/>
    <w:rsid w:val="006370E7"/>
    <w:rsid w:val="006A3424"/>
    <w:rsid w:val="006F2EF8"/>
    <w:rsid w:val="006F5CBC"/>
    <w:rsid w:val="007012DE"/>
    <w:rsid w:val="00701753"/>
    <w:rsid w:val="007130B6"/>
    <w:rsid w:val="00723044"/>
    <w:rsid w:val="007263A7"/>
    <w:rsid w:val="0076380F"/>
    <w:rsid w:val="00774795"/>
    <w:rsid w:val="007E324F"/>
    <w:rsid w:val="00820EE8"/>
    <w:rsid w:val="00867FE0"/>
    <w:rsid w:val="00897FA9"/>
    <w:rsid w:val="008B0057"/>
    <w:rsid w:val="008D5F77"/>
    <w:rsid w:val="008E6900"/>
    <w:rsid w:val="00902188"/>
    <w:rsid w:val="00915DA0"/>
    <w:rsid w:val="00926B8B"/>
    <w:rsid w:val="00961B2C"/>
    <w:rsid w:val="009D2D33"/>
    <w:rsid w:val="00A03A05"/>
    <w:rsid w:val="00A04428"/>
    <w:rsid w:val="00A22C54"/>
    <w:rsid w:val="00A36302"/>
    <w:rsid w:val="00A50EF7"/>
    <w:rsid w:val="00A63308"/>
    <w:rsid w:val="00A70796"/>
    <w:rsid w:val="00AA1874"/>
    <w:rsid w:val="00AB1342"/>
    <w:rsid w:val="00AB66B5"/>
    <w:rsid w:val="00AD01AF"/>
    <w:rsid w:val="00AE2F0B"/>
    <w:rsid w:val="00AE4199"/>
    <w:rsid w:val="00AE52E1"/>
    <w:rsid w:val="00B31B6C"/>
    <w:rsid w:val="00B47355"/>
    <w:rsid w:val="00B67D68"/>
    <w:rsid w:val="00B76DFA"/>
    <w:rsid w:val="00BB3627"/>
    <w:rsid w:val="00BC2EFE"/>
    <w:rsid w:val="00BD244F"/>
    <w:rsid w:val="00C33199"/>
    <w:rsid w:val="00C37932"/>
    <w:rsid w:val="00C435F3"/>
    <w:rsid w:val="00C52FC0"/>
    <w:rsid w:val="00C92B44"/>
    <w:rsid w:val="00C938B8"/>
    <w:rsid w:val="00CB7378"/>
    <w:rsid w:val="00D00627"/>
    <w:rsid w:val="00D34B56"/>
    <w:rsid w:val="00D57F2D"/>
    <w:rsid w:val="00D84867"/>
    <w:rsid w:val="00D95D99"/>
    <w:rsid w:val="00DA281D"/>
    <w:rsid w:val="00DD211A"/>
    <w:rsid w:val="00DF4175"/>
    <w:rsid w:val="00E9083F"/>
    <w:rsid w:val="00E97332"/>
    <w:rsid w:val="00EB4EF1"/>
    <w:rsid w:val="00F11A4B"/>
    <w:rsid w:val="00F32E2A"/>
    <w:rsid w:val="00F40813"/>
    <w:rsid w:val="00F661E8"/>
    <w:rsid w:val="00F97F74"/>
    <w:rsid w:val="00FD027D"/>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3199"/>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194F95"/>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194F95"/>
  </w:style>
  <w:style w:type="paragraph" w:styleId="Footer">
    <w:name w:val="footer"/>
    <w:basedOn w:val="Normal"/>
    <w:link w:val="FooterChar"/>
    <w:uiPriority w:val="99"/>
    <w:rsid w:val="00194F95"/>
    <w:pPr>
      <w:tabs>
        <w:tab w:val="center" w:pos="4819"/>
        <w:tab w:val="right" w:pos="9638"/>
      </w:tabs>
      <w:spacing w:after="0" w:line="240" w:lineRule="auto"/>
    </w:pPr>
  </w:style>
  <w:style w:type="character" w:customStyle="1" w:styleId="FooterChar">
    <w:name w:val="Footer Char"/>
    <w:basedOn w:val="DefaultParagraphFont"/>
    <w:link w:val="Footer"/>
    <w:uiPriority w:val="99"/>
    <w:rsid w:val="00194F95"/>
  </w:style>
  <w:style w:type="paragraph" w:styleId="BalloonText">
    <w:name w:val="Balloon Text"/>
    <w:basedOn w:val="Normal"/>
    <w:link w:val="BalloonTextChar"/>
    <w:uiPriority w:val="99"/>
    <w:semiHidden/>
    <w:rsid w:val="00194F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4F95"/>
    <w:rPr>
      <w:rFonts w:ascii="Tahoma" w:hAnsi="Tahoma" w:cs="Tahoma"/>
      <w:sz w:val="16"/>
      <w:szCs w:val="16"/>
    </w:rPr>
  </w:style>
  <w:style w:type="paragraph" w:styleId="FootnoteText">
    <w:name w:val="footnote text"/>
    <w:basedOn w:val="Normal"/>
    <w:link w:val="FootnoteTextChar"/>
    <w:uiPriority w:val="99"/>
    <w:semiHidden/>
    <w:rsid w:val="00194F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4F95"/>
    <w:rPr>
      <w:sz w:val="20"/>
      <w:szCs w:val="20"/>
    </w:rPr>
  </w:style>
  <w:style w:type="character" w:styleId="FootnoteReference">
    <w:name w:val="footnote reference"/>
    <w:basedOn w:val="DefaultParagraphFont"/>
    <w:uiPriority w:val="99"/>
    <w:semiHidden/>
    <w:rsid w:val="00194F95"/>
    <w:rPr>
      <w:vertAlign w:val="superscript"/>
    </w:rPr>
  </w:style>
  <w:style w:type="character" w:styleId="Hyperlink">
    <w:name w:val="Hyperlink"/>
    <w:basedOn w:val="DefaultParagraphFont"/>
    <w:uiPriority w:val="99"/>
    <w:rsid w:val="0090218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4673</Words>
  <Characters>26639</Characters>
  <Application>Microsoft Office Outlook</Application>
  <DocSecurity>0</DocSecurity>
  <Lines>0</Lines>
  <Paragraphs>0</Paragraphs>
  <ScaleCrop>false</ScaleCrop>
  <Company>Università degli Studi di Milano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ABOLITIO CRIMINIS E SUCCESSIONE DI NORME “INTEGRATRICI” NELLA RECENTE GIURISPRUDENZA DELLE SEZIONI UNITE DELLA CORTE DI CASSAZ</dc:title>
  <dc:subject/>
  <dc:creator>gatta</dc:creator>
  <cp:keywords/>
  <dc:description/>
  <cp:lastModifiedBy>gatta</cp:lastModifiedBy>
  <cp:revision>2</cp:revision>
  <cp:lastPrinted>2010-10-06T10:36:00Z</cp:lastPrinted>
  <dcterms:created xsi:type="dcterms:W3CDTF">2010-10-12T11:11:00Z</dcterms:created>
  <dcterms:modified xsi:type="dcterms:W3CDTF">2010-10-12T11:11:00Z</dcterms:modified>
</cp:coreProperties>
</file>